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Professional Financial Analyst Services</w:t>
      </w:r>
    </w:p>
    <w:p>
      <w:pPr>
        <w:pStyle w:val="BodyText"/>
      </w:pPr>
      <w:r>
        <w:t xml:space="preserve">Prepared for Clients in Israel Jerusalem</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QE-2025-JER-0472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r>
      <w:tr>
        <w:tc>
          <w:tcPr/>
          <w:p>
            <w:pPr>
              <w:pStyle w:val="Compact"/>
              <w:jc w:val="left"/>
            </w:pPr>
            <w:r>
              <w:t xml:space="preserve">Prepared By</w:t>
            </w:r>
          </w:p>
        </w:tc>
        <w:tc>
          <w:tcPr/>
          <w:p>
            <w:pPr>
              <w:pStyle w:val="Compact"/>
              <w:jc w:val="left"/>
            </w:pPr>
            <w:r>
              <w:t xml:space="preserve">Meridian Advisory Group – Israel Jerusalem Office</w:t>
            </w:r>
          </w:p>
        </w:tc>
      </w:tr>
      <w:tr>
        <w:tc>
          <w:tcPr/>
          <w:p>
            <w:pPr>
              <w:pStyle w:val="Compact"/>
              <w:jc w:val="left"/>
            </w:pPr>
            <w:r>
              <w:t xml:space="preserve">Address</w:t>
            </w:r>
          </w:p>
        </w:tc>
        <w:tc>
          <w:tcPr/>
          <w:p>
            <w:pPr>
              <w:pStyle w:val="Compact"/>
              <w:jc w:val="left"/>
            </w:pPr>
            <w:r>
              <w:t xml:space="preserve">12 King George Street, Jerusalem 94120, Israel</w:t>
            </w:r>
          </w:p>
        </w:tc>
      </w:tr>
      <w:tr>
        <w:tc>
          <w:tcPr/>
          <w:p>
            <w:pPr>
              <w:pStyle w:val="Compact"/>
              <w:jc w:val="left"/>
            </w:pPr>
            <w:r>
              <w:t xml:space="preserve">Contact</w:t>
            </w:r>
          </w:p>
        </w:tc>
        <w:tc>
          <w:tcPr/>
          <w:p>
            <w:pPr>
              <w:pStyle w:val="Compact"/>
              <w:jc w:val="left"/>
            </w:pPr>
            <w:r>
              <w:t xml:space="preserve">finance@meridianadvisory.co.il | +972-2-625-4400</w:t>
            </w:r>
          </w:p>
        </w:tc>
      </w:tr>
      <w:tr>
        <w:tc>
          <w:tcPr/>
          <w:p>
            <w:pPr>
              <w:pStyle w:val="Compact"/>
              <w:jc w:val="left"/>
            </w:pPr>
            <w:r>
              <w:t xml:space="preserve">Prepared For</w:t>
            </w:r>
          </w:p>
        </w:tc>
        <w:tc>
          <w:tcPr/>
          <w:p>
            <w:pPr>
              <w:pStyle w:val="Compact"/>
              <w:jc w:val="left"/>
            </w:pPr>
            <w:r>
              <w:t xml:space="preserve">[Client Name / Organization]</w:t>
            </w:r>
          </w:p>
        </w:tc>
      </w:tr>
      <w:tr>
        <w:tc>
          <w:tcPr/>
          <w:p>
            <w:pPr>
              <w:pStyle w:val="Compact"/>
              <w:jc w:val="left"/>
            </w:pPr>
            <w:r>
              <w:t xml:space="preserve">Client Address</w:t>
            </w:r>
          </w:p>
        </w:tc>
        <w:tc>
          <w:tcPr/>
          <w:p>
            <w:pPr>
              <w:pStyle w:val="Compact"/>
              <w:jc w:val="left"/>
            </w:pPr>
            <w:r>
              <w:t xml:space="preserve">[Street, District], Jerusalem, Israel</w:t>
            </w:r>
          </w:p>
        </w:tc>
      </w:tr>
      <w:tr>
        <w:tc>
          <w:tcPr/>
          <w:p>
            <w:pPr>
              <w:pStyle w:val="Compact"/>
              <w:jc w:val="left"/>
            </w:pPr>
            <w:r>
              <w:t xml:space="preserve">Service Location</w:t>
            </w:r>
          </w:p>
        </w:tc>
        <w:tc>
          <w:tcPr/>
          <w:p>
            <w:pPr>
              <w:pStyle w:val="Compact"/>
              <w:jc w:val="left"/>
            </w:pPr>
            <w:r>
              <w:t xml:space="preserve">Israel Jerusalem – On-site and Remote Hybrid</w:t>
            </w:r>
          </w:p>
        </w:tc>
      </w:tr>
    </w:tbl>
    <w:bookmarkStart w:id="21" w:name="purpose-of-this-quotation-estimate"/>
    <w:p>
      <w:pPr>
        <w:pStyle w:val="Heading2"/>
      </w:pPr>
      <w:r>
        <w:t xml:space="preserve">1. Purpose of This Quotation Estimate</w:t>
      </w:r>
    </w:p>
    <w:p>
      <w:pPr>
        <w:pStyle w:val="FirstParagraph"/>
      </w:pPr>
      <w:r>
        <w:t xml:space="preserve">This Quotation Estimate is issued by Meridian Advisory Group to provide a comprehensive and transparent cost breakdown for the engagement of a qualified</w:t>
      </w:r>
      <w:r>
        <w:t xml:space="preserve"> </w:t>
      </w:r>
      <w:r>
        <w:rPr>
          <w:bCs/>
          <w:b/>
        </w:rPr>
        <w:t xml:space="preserve">Financial Analyst</w:t>
      </w:r>
      <w:r>
        <w:t xml:space="preserve"> </w:t>
      </w:r>
      <w:r>
        <w:t xml:space="preserve">to deliver specialized advisory, reporting, and strategic planning services. This document has been prepared specifically for deployment within the</w:t>
      </w:r>
      <w:r>
        <w:t xml:space="preserve"> </w:t>
      </w:r>
      <w:r>
        <w:rPr>
          <w:bCs/>
          <w:b/>
        </w:rPr>
        <w:t xml:space="preserve">Israel Jerusalem</w:t>
      </w:r>
      <w:r>
        <w:t xml:space="preserve"> </w:t>
      </w:r>
      <w:r>
        <w:t xml:space="preserve">metropolitan area, taking into account local regulatory requirements, tax obligations under Israeli law, and the unique economic landscape of the Jerusalem business district. All figures presented in this Quotation Estimate are denominated in New Israeli Shekels (ILS) unless otherwise stated, and are subject to the terms and conditions outlined herein.</w:t>
      </w:r>
    </w:p>
    <w:bookmarkEnd w:id="21"/>
    <w:bookmarkStart w:id="22" w:name="Xc71ca9f107dc19ad1a35be8656fe3f8577b2b82"/>
    <w:p>
      <w:pPr>
        <w:pStyle w:val="Heading2"/>
      </w:pPr>
      <w:r>
        <w:t xml:space="preserve">2. Scope of Services – Financial Analyst Engagement</w:t>
      </w:r>
    </w:p>
    <w:p>
      <w:pPr>
        <w:pStyle w:val="FirstParagraph"/>
      </w:pPr>
      <w:r>
        <w:t xml:space="preserve">The</w:t>
      </w:r>
      <w:r>
        <w:t xml:space="preserve"> </w:t>
      </w:r>
      <w:r>
        <w:rPr>
          <w:bCs/>
          <w:b/>
        </w:rPr>
        <w:t xml:space="preserve">Financial Analyst</w:t>
      </w:r>
      <w:r>
        <w:t xml:space="preserve"> </w:t>
      </w:r>
      <w:r>
        <w:t xml:space="preserve">engaged under this Quotation Estimate will perform the following duties and deliverables for the client organization operating in Israel Jerusalem:</w:t>
      </w:r>
    </w:p>
    <w:p>
      <w:pPr>
        <w:numPr>
          <w:ilvl w:val="0"/>
          <w:numId w:val="1001"/>
        </w:numPr>
        <w:pStyle w:val="Compact"/>
      </w:pPr>
      <w:r>
        <w:t xml:space="preserve">Preparation of monthly, quarterly, and annual financial statements in compliance with Israeli Generally Accepted Accounting Principles (GAAP) and International Financial Reporting Standards (IFRS).</w:t>
      </w:r>
    </w:p>
    <w:p>
      <w:pPr>
        <w:numPr>
          <w:ilvl w:val="0"/>
          <w:numId w:val="1001"/>
        </w:numPr>
        <w:pStyle w:val="Compact"/>
      </w:pPr>
      <w:r>
        <w:t xml:space="preserve">Development of detailed cash flow projections, budget variance analyses, and rolling 12-month financial forecasts tailored to the client's operational scope in Israel Jerusalem.</w:t>
      </w:r>
    </w:p>
    <w:p>
      <w:pPr>
        <w:numPr>
          <w:ilvl w:val="0"/>
          <w:numId w:val="1001"/>
        </w:numPr>
        <w:pStyle w:val="Compact"/>
      </w:pPr>
      <w:r>
        <w:t xml:space="preserve">Conducting ratio analysis, trend analysis, and peer benchmarking against comparable firms in the Jerusalem technology, real estate, and services sectors.</w:t>
      </w:r>
    </w:p>
    <w:p>
      <w:pPr>
        <w:numPr>
          <w:ilvl w:val="0"/>
          <w:numId w:val="1001"/>
        </w:numPr>
        <w:pStyle w:val="Compact"/>
      </w:pPr>
      <w:r>
        <w:t xml:space="preserve">Assisting the client's board of directors and senior management with capital allocation decisions, investment appraisal (NPV, IRR, payback period), and risk assessment.</w:t>
      </w:r>
    </w:p>
    <w:p>
      <w:pPr>
        <w:numPr>
          <w:ilvl w:val="0"/>
          <w:numId w:val="1001"/>
        </w:numPr>
        <w:pStyle w:val="Compact"/>
      </w:pPr>
      <w:r>
        <w:t xml:space="preserve">Coordination with the client's external auditors, tax advisors, and the Israel Tax Authority (ITA) to ensure full regulatory compliance.</w:t>
      </w:r>
    </w:p>
    <w:p>
      <w:pPr>
        <w:numPr>
          <w:ilvl w:val="0"/>
          <w:numId w:val="1001"/>
        </w:numPr>
        <w:pStyle w:val="Compact"/>
      </w:pPr>
      <w:r>
        <w:t xml:space="preserve">Ad-hoc financial modeling for mergers, acquisitions, joint ventures, or new market entry strategies relevant to the Israel Jerusalem economic corridor.</w:t>
      </w:r>
    </w:p>
    <w:p>
      <w:pPr>
        <w:numPr>
          <w:ilvl w:val="0"/>
          <w:numId w:val="1001"/>
        </w:numPr>
        <w:pStyle w:val="Compact"/>
      </w:pPr>
      <w:r>
        <w:t xml:space="preserve">Monthly written reports and quarterly in-person presentations delivered at the client's premises in Israel Jerusalem or via secure video conference.</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Senior Financial Analyst – Monthly Retainer (40 hrs/month)</w:t>
            </w:r>
          </w:p>
        </w:tc>
        <w:tc>
          <w:tcPr/>
          <w:p>
            <w:pPr>
              <w:pStyle w:val="Compact"/>
              <w:jc w:val="left"/>
            </w:pPr>
            <w:r>
              <w:t xml:space="preserve">12 months</w:t>
            </w:r>
          </w:p>
        </w:tc>
        <w:tc>
          <w:tcPr/>
          <w:p>
            <w:pPr>
              <w:pStyle w:val="Compact"/>
              <w:jc w:val="left"/>
            </w:pPr>
            <w:r>
              <w:t xml:space="preserve">18,500 / month</w:t>
            </w:r>
          </w:p>
        </w:tc>
        <w:tc>
          <w:tcPr/>
          <w:p>
            <w:pPr>
              <w:pStyle w:val="Compact"/>
              <w:jc w:val="left"/>
            </w:pPr>
            <w:r>
              <w:t xml:space="preserve">222,000</w:t>
            </w:r>
          </w:p>
        </w:tc>
      </w:tr>
      <w:tr>
        <w:tc>
          <w:tcPr/>
          <w:p>
            <w:pPr>
              <w:pStyle w:val="Compact"/>
              <w:jc w:val="left"/>
            </w:pPr>
            <w:r>
              <w:t xml:space="preserve">2</w:t>
            </w:r>
          </w:p>
        </w:tc>
        <w:tc>
          <w:tcPr/>
          <w:p>
            <w:pPr>
              <w:pStyle w:val="Compact"/>
              <w:jc w:val="left"/>
            </w:pPr>
            <w:r>
              <w:t xml:space="preserve">Quarterly Strategic Financial Review &amp; Board Presentation</w:t>
            </w:r>
          </w:p>
        </w:tc>
        <w:tc>
          <w:tcPr/>
          <w:p>
            <w:pPr>
              <w:pStyle w:val="Compact"/>
              <w:jc w:val="left"/>
            </w:pPr>
            <w:r>
              <w:t xml:space="preserve">4 sessions / year</w:t>
            </w:r>
          </w:p>
        </w:tc>
        <w:tc>
          <w:tcPr/>
          <w:p>
            <w:pPr>
              <w:pStyle w:val="Compact"/>
              <w:jc w:val="left"/>
            </w:pPr>
            <w:r>
              <w:t xml:space="preserve">7,500 / session</w:t>
            </w:r>
          </w:p>
        </w:tc>
        <w:tc>
          <w:tcPr/>
          <w:p>
            <w:pPr>
              <w:pStyle w:val="Compact"/>
              <w:jc w:val="left"/>
            </w:pPr>
            <w:r>
              <w:t xml:space="preserve">30,000</w:t>
            </w:r>
          </w:p>
        </w:tc>
      </w:tr>
      <w:tr>
        <w:tc>
          <w:tcPr/>
          <w:p>
            <w:pPr>
              <w:pStyle w:val="Compact"/>
              <w:jc w:val="left"/>
            </w:pPr>
            <w:r>
              <w:t xml:space="preserve">3</w:t>
            </w:r>
          </w:p>
        </w:tc>
        <w:tc>
          <w:tcPr/>
          <w:p>
            <w:pPr>
              <w:pStyle w:val="Compact"/>
              <w:jc w:val="left"/>
            </w:pPr>
            <w:r>
              <w:t xml:space="preserve">Custom Financial Modeling &amp; Scenario Analysis (per project)</w:t>
            </w:r>
          </w:p>
        </w:tc>
        <w:tc>
          <w:tcPr/>
          <w:p>
            <w:pPr>
              <w:pStyle w:val="Compact"/>
              <w:jc w:val="left"/>
            </w:pPr>
            <w:r>
              <w:t xml:space="preserve">Up to 3 projects / year</w:t>
            </w:r>
          </w:p>
        </w:tc>
        <w:tc>
          <w:tcPr/>
          <w:p>
            <w:pPr>
              <w:pStyle w:val="Compact"/>
              <w:jc w:val="left"/>
            </w:pPr>
            <w:r>
              <w:t xml:space="preserve">12,000 / project</w:t>
            </w:r>
          </w:p>
        </w:tc>
        <w:tc>
          <w:tcPr/>
          <w:p>
            <w:pPr>
              <w:pStyle w:val="Compact"/>
              <w:jc w:val="left"/>
            </w:pPr>
            <w:r>
              <w:t xml:space="preserve">36,000</w:t>
            </w:r>
          </w:p>
        </w:tc>
      </w:tr>
      <w:tr>
        <w:tc>
          <w:tcPr/>
          <w:p>
            <w:pPr>
              <w:pStyle w:val="Compact"/>
              <w:jc w:val="left"/>
            </w:pPr>
            <w:r>
              <w:t xml:space="preserve">4</w:t>
            </w:r>
          </w:p>
        </w:tc>
        <w:tc>
          <w:tcPr/>
          <w:p>
            <w:pPr>
              <w:pStyle w:val="Compact"/>
              <w:jc w:val="left"/>
            </w:pPr>
            <w:r>
              <w:t xml:space="preserve">Regulatory Compliance &amp; ITA Filing Support</w:t>
            </w:r>
          </w:p>
        </w:tc>
        <w:tc>
          <w:tcPr/>
          <w:p>
            <w:pPr>
              <w:pStyle w:val="Compact"/>
              <w:jc w:val="left"/>
            </w:pPr>
            <w:r>
              <w:t xml:space="preserve">Annual</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5</w:t>
            </w:r>
          </w:p>
        </w:tc>
        <w:tc>
          <w:tcPr/>
          <w:p>
            <w:pPr>
              <w:pStyle w:val="Compact"/>
              <w:jc w:val="left"/>
            </w:pPr>
            <w:r>
              <w:t xml:space="preserve">On-site Travel within Israel Jerusalem (fuel, parking, transit)</w:t>
            </w:r>
          </w:p>
        </w:tc>
        <w:tc>
          <w:tcPr/>
          <w:p>
            <w:pPr>
              <w:pStyle w:val="Compact"/>
              <w:jc w:val="left"/>
            </w:pPr>
            <w:r>
              <w:t xml:space="preserve">Annual allowance</w:t>
            </w:r>
          </w:p>
        </w:tc>
        <w:tc>
          <w:tcPr/>
          <w:p>
            <w:pPr>
              <w:pStyle w:val="Compact"/>
              <w:jc w:val="left"/>
            </w:pPr>
            <w:r>
              <w:t xml:space="preserve">—</w:t>
            </w:r>
          </w:p>
        </w:tc>
        <w:tc>
          <w:tcPr/>
          <w:p>
            <w:pPr>
              <w:pStyle w:val="Compact"/>
              <w:jc w:val="left"/>
            </w:pPr>
            <w:r>
              <w:t xml:space="preserve">4,500</w:t>
            </w:r>
          </w:p>
        </w:tc>
      </w:tr>
      <w:tr>
        <w:tc>
          <w:tcPr/>
          <w:p>
            <w:pPr>
              <w:pStyle w:val="Compact"/>
              <w:jc w:val="left"/>
            </w:pPr>
            <w:r>
              <w:t xml:space="preserve">6</w:t>
            </w:r>
          </w:p>
        </w:tc>
        <w:tc>
          <w:tcPr/>
          <w:p>
            <w:pPr>
              <w:pStyle w:val="Compact"/>
              <w:jc w:val="left"/>
            </w:pPr>
            <w:r>
              <w:t xml:space="preserve">Software &amp; Data Licensing (Bloomberg Terminal access, Excel add-ins)</w:t>
            </w:r>
          </w:p>
        </w:tc>
        <w:tc>
          <w:tcPr/>
          <w:p>
            <w:pPr>
              <w:pStyle w:val="Compact"/>
              <w:jc w:val="left"/>
            </w:pPr>
            <w:r>
              <w:t xml:space="preserve">Annual</w:t>
            </w:r>
          </w:p>
        </w:tc>
        <w:tc>
          <w:tcPr/>
          <w:p>
            <w:pPr>
              <w:pStyle w:val="Compact"/>
              <w:jc w:val="left"/>
            </w:pPr>
            <w:r>
              <w:t xml:space="preserve">—</w:t>
            </w:r>
          </w:p>
        </w:tc>
        <w:tc>
          <w:tcPr/>
          <w:p>
            <w:pPr>
              <w:pStyle w:val="Compact"/>
              <w:jc w:val="left"/>
            </w:pPr>
            <w:r>
              <w:t xml:space="preserve">15,000</w:t>
            </w:r>
          </w:p>
        </w:tc>
      </w:tr>
      <w:tr>
        <w:tc>
          <w:tcPr/>
          <w:p>
            <w:pPr>
              <w:pStyle w:val="Compact"/>
              <w:jc w:val="left"/>
            </w:pPr>
            <w:r>
              <w:t xml:space="preserve">7</w:t>
            </w:r>
          </w:p>
        </w:tc>
        <w:tc>
          <w:tcPr/>
          <w:p>
            <w:pPr>
              <w:pStyle w:val="Compact"/>
              <w:jc w:val="left"/>
            </w:pPr>
            <w:r>
              <w:t xml:space="preserve">Project Management &amp; Administrative Overhead (10%)</w:t>
            </w:r>
          </w:p>
        </w:tc>
        <w:tc>
          <w:tcPr/>
          <w:p>
            <w:pPr>
              <w:pStyle w:val="Compact"/>
              <w:jc w:val="left"/>
            </w:pPr>
            <w:r>
              <w:t xml:space="preserve">Annual</w:t>
            </w:r>
          </w:p>
        </w:tc>
        <w:tc>
          <w:tcPr/>
          <w:p>
            <w:pPr>
              <w:pStyle w:val="Compact"/>
              <w:jc w:val="left"/>
            </w:pPr>
            <w:r>
              <w:t xml:space="preserve">—</w:t>
            </w:r>
          </w:p>
        </w:tc>
        <w:tc>
          <w:tcPr/>
          <w:p>
            <w:pPr>
              <w:pStyle w:val="Compact"/>
              <w:jc w:val="left"/>
            </w:pPr>
            <w:r>
              <w:t xml:space="preserve">31,550</w:t>
            </w:r>
          </w:p>
        </w:tc>
      </w:tr>
      <w:tr>
        <w:tc>
          <w:tcPr>
            <w:gridSpan w:val="4"/>
          </w:tcPr>
          <w:p>
            <w:pPr>
              <w:pStyle w:val="Compact"/>
              <w:jc w:val="left"/>
            </w:pPr>
            <w:r>
              <w:t xml:space="preserve">Subtotal (excl. VAT)</w:t>
            </w:r>
          </w:p>
        </w:tc>
        <w:tc>
          <w:tcPr/>
          <w:p>
            <w:pPr>
              <w:pStyle w:val="Compact"/>
              <w:jc w:val="left"/>
            </w:pPr>
            <w:r>
              <w:t xml:space="preserve">347,050</w:t>
            </w:r>
          </w:p>
        </w:tc>
      </w:tr>
      <w:tr>
        <w:tc>
          <w:tcPr>
            <w:gridSpan w:val="4"/>
          </w:tcPr>
          <w:p>
            <w:pPr>
              <w:pStyle w:val="Compact"/>
              <w:jc w:val="left"/>
            </w:pPr>
            <w:r>
              <w:t xml:space="preserve">VAT @ 18% (Israel)</w:t>
            </w:r>
          </w:p>
        </w:tc>
        <w:tc>
          <w:tcPr/>
          <w:p>
            <w:pPr>
              <w:pStyle w:val="Compact"/>
              <w:jc w:val="left"/>
            </w:pPr>
            <w:r>
              <w:t xml:space="preserve">62,469</w:t>
            </w:r>
          </w:p>
        </w:tc>
      </w:tr>
      <w:tr>
        <w:tc>
          <w:tcPr>
            <w:gridSpan w:val="4"/>
          </w:tcPr>
          <w:p>
            <w:pPr>
              <w:pStyle w:val="Compact"/>
              <w:jc w:val="left"/>
            </w:pPr>
            <w:r>
              <w:t xml:space="preserve">TOTAL ESTIMATED COST (incl. VAT)</w:t>
            </w:r>
          </w:p>
        </w:tc>
        <w:tc>
          <w:tcPr/>
          <w:p>
            <w:pPr>
              <w:pStyle w:val="Compact"/>
              <w:jc w:val="left"/>
            </w:pPr>
            <w:r>
              <w:t xml:space="preserve">409,519</w:t>
            </w:r>
          </w:p>
        </w:tc>
      </w:tr>
    </w:tbl>
    <w:bookmarkEnd w:id="23"/>
    <w:bookmarkStart w:id="24" w:name="payment-terms"/>
    <w:p>
      <w:pPr>
        <w:pStyle w:val="Heading2"/>
      </w:pPr>
      <w:r>
        <w:t xml:space="preserve">4. Payment Terms</w:t>
      </w:r>
    </w:p>
    <w:p>
      <w:pPr>
        <w:pStyle w:val="FirstParagraph"/>
      </w:pPr>
      <w:r>
        <w:t xml:space="preserve">Payment for the services described in this Quotation Estimate shall be made in accordance with the following schedule:</w:t>
      </w:r>
    </w:p>
    <w:p>
      <w:pPr>
        <w:numPr>
          <w:ilvl w:val="0"/>
          <w:numId w:val="1002"/>
        </w:numPr>
        <w:pStyle w:val="Compact"/>
      </w:pPr>
      <w:r>
        <w:rPr>
          <w:bCs/>
          <w:b/>
        </w:rPr>
        <w:t xml:space="preserve">Retainer (Item 1):</w:t>
      </w:r>
      <w:r>
        <w:t xml:space="preserve"> </w:t>
      </w:r>
      <w:r>
        <w:t xml:space="preserve">Invoiced monthly in advance, due within 14 calendar days of invoice date via bank transfer to the Meridian Advisory Group account at Bank Hapoalim, Jerusalem branch.</w:t>
      </w:r>
    </w:p>
    <w:p>
      <w:pPr>
        <w:numPr>
          <w:ilvl w:val="0"/>
          <w:numId w:val="1002"/>
        </w:numPr>
        <w:pStyle w:val="Compact"/>
      </w:pPr>
      <w:r>
        <w:rPr>
          <w:bCs/>
          <w:b/>
        </w:rPr>
        <w:t xml:space="preserve">Quarterly Reviews (Item 2):</w:t>
      </w:r>
      <w:r>
        <w:t xml:space="preserve"> </w:t>
      </w:r>
      <w:r>
        <w:t xml:space="preserve">Invoiced upon completion of each session, due within 21 calendar days.</w:t>
      </w:r>
    </w:p>
    <w:p>
      <w:pPr>
        <w:numPr>
          <w:ilvl w:val="0"/>
          <w:numId w:val="1002"/>
        </w:numPr>
        <w:pStyle w:val="Compact"/>
      </w:pPr>
      <w:r>
        <w:rPr>
          <w:bCs/>
          <w:b/>
        </w:rPr>
        <w:t xml:space="preserve">Project-Based Work (Items 3, 4):</w:t>
      </w:r>
      <w:r>
        <w:t xml:space="preserve"> </w:t>
      </w:r>
      <w:r>
        <w:t xml:space="preserve">50% upon project kickoff, 50% upon final delivery and client sign-off.</w:t>
      </w:r>
    </w:p>
    <w:p>
      <w:pPr>
        <w:numPr>
          <w:ilvl w:val="0"/>
          <w:numId w:val="1002"/>
        </w:numPr>
        <w:pStyle w:val="Compact"/>
      </w:pPr>
      <w:r>
        <w:rPr>
          <w:bCs/>
          <w:b/>
        </w:rPr>
        <w:t xml:space="preserve">Recurring Annual Items (Items 5, 6):</w:t>
      </w:r>
      <w:r>
        <w:t xml:space="preserve"> </w:t>
      </w:r>
      <w:r>
        <w:t xml:space="preserve">Invoiced in January of the service year, due within 30 calendar days.</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a period of thirty (30) calendar days from the date of issue. Upon expiration, all rates and availability must be reconfirmed in writing.</w:t>
      </w:r>
    </w:p>
    <w:p>
      <w:pPr>
        <w:numPr>
          <w:ilvl w:val="0"/>
          <w:numId w:val="1003"/>
        </w:numPr>
        <w:pStyle w:val="Compact"/>
      </w:pPr>
      <w:r>
        <w:t xml:space="preserve">The Financial Analyst assigned under this engagement shall maintain professional indemnity insurance with a minimum coverage of ILS 2,000,000, as required for financial advisory services in Israel.</w:t>
      </w:r>
    </w:p>
    <w:p>
      <w:pPr>
        <w:numPr>
          <w:ilvl w:val="0"/>
          <w:numId w:val="1003"/>
        </w:numPr>
        <w:pStyle w:val="Compact"/>
      </w:pPr>
      <w:r>
        <w:t xml:space="preserve">All work product, reports, models, and analyses produced under this Quotation Estimate shall remain the exclusive intellectual property of the client upon full payment.</w:t>
      </w:r>
    </w:p>
    <w:p>
      <w:pPr>
        <w:numPr>
          <w:ilvl w:val="0"/>
          <w:numId w:val="1003"/>
        </w:numPr>
        <w:pStyle w:val="Compact"/>
      </w:pPr>
      <w:r>
        <w:t xml:space="preserve">Confidentiality: The Financial Analyst and Meridian Advisory Group shall be bound by a Non-Disclosure Agreement (NDA) in accordance with the Israeli Privacy Protection Law, 5741-1981, and the Israeli Companies Law, 5759-1999.</w:t>
      </w:r>
    </w:p>
    <w:p>
      <w:pPr>
        <w:numPr>
          <w:ilvl w:val="0"/>
          <w:numId w:val="1003"/>
        </w:numPr>
        <w:pStyle w:val="Compact"/>
      </w:pPr>
      <w:r>
        <w:t xml:space="preserve">Any additional services beyond the scope defined herein shall be subject to a supplementary Quotation Estimate approved in writing by both parties before work commences.</w:t>
      </w:r>
    </w:p>
    <w:p>
      <w:pPr>
        <w:numPr>
          <w:ilvl w:val="0"/>
          <w:numId w:val="1003"/>
        </w:numPr>
        <w:pStyle w:val="Compact"/>
      </w:pPr>
      <w:r>
        <w:t xml:space="preserve">Force Majeure: Neither party shall be liable for delays caused by events beyond reasonable control, including but not limited to government-mandated closures in Israel Jerusalem, natural disasters, or acts of war.</w:t>
      </w:r>
    </w:p>
    <w:p>
      <w:pPr>
        <w:numPr>
          <w:ilvl w:val="0"/>
          <w:numId w:val="1003"/>
        </w:numPr>
        <w:pStyle w:val="Compact"/>
      </w:pPr>
      <w:r>
        <w:t xml:space="preserve">Disputes arising from this Quotation Estimate shall be resolved through mediation in Jerusalem, Israel, in accordance with the rules of the Israel Arbitration Association. If mediation fails, the competent courts of Jerusalem shall have exclusive jurisdiction.</w:t>
      </w:r>
    </w:p>
    <w:p>
      <w:pPr>
        <w:numPr>
          <w:ilvl w:val="0"/>
          <w:numId w:val="1003"/>
        </w:numPr>
        <w:pStyle w:val="Compact"/>
      </w:pPr>
      <w:r>
        <w:t xml:space="preserve">This Quotation Estimate does not constitute a binding contract until countersigned by both parties and a formal Service Agreement is executed.</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Financial Analyst services in Israel Jerusalem and agrees to the terms, conditions, and cost structure outlined above. This signature authorizes Meridian Advisory Group to proceed with the engagement upon execution of the definitive Service Agreement.</w:t>
      </w:r>
    </w:p>
    <w:p>
      <w:pPr>
        <w:pStyle w:val="BodyText"/>
      </w:pPr>
      <w:r>
        <w:rPr>
          <w:bCs/>
          <w:b/>
        </w:rPr>
        <w:t xml:space="preserve">For Meridian Advisory Group</w:t>
      </w:r>
      <w:r>
        <w:br/>
      </w:r>
      <w:r>
        <w:br/>
      </w:r>
      <w:r>
        <w:t xml:space="preserve">Name: ___________________________</w:t>
      </w:r>
      <w:r>
        <w:br/>
      </w:r>
      <w:r>
        <w:t xml:space="preserve">Title: Managing Director</w:t>
      </w:r>
      <w:r>
        <w:br/>
      </w:r>
      <w:r>
        <w:t xml:space="preserve">Signature: _______________________</w:t>
      </w:r>
      <w:r>
        <w:br/>
      </w:r>
      <w:r>
        <w:t xml:space="preserve">Date: ___________________________</w:t>
      </w:r>
    </w:p>
    <w:p>
      <w:pPr>
        <w:pStyle w:val="BodyText"/>
      </w:pPr>
      <w:r>
        <w:rPr>
          <w:bCs/>
          <w:b/>
        </w:rPr>
        <w:t xml:space="preserve">For the Client</w:t>
      </w:r>
      <w:r>
        <w:br/>
      </w:r>
      <w:r>
        <w:br/>
      </w:r>
      <w:r>
        <w:t xml:space="preserve">Name: ___________________________</w:t>
      </w:r>
      <w:r>
        <w:br/>
      </w:r>
      <w:r>
        <w:t xml:space="preserve">Title: ___________________________</w:t>
      </w:r>
      <w:r>
        <w:br/>
      </w:r>
      <w:r>
        <w:t xml:space="preserve">Signature: _______________________</w:t>
      </w:r>
      <w:r>
        <w:br/>
      </w:r>
      <w:r>
        <w:t xml:space="preserve">Date: ___________________________</w:t>
      </w:r>
    </w:p>
    <w:p>
      <w:pPr>
        <w:pStyle w:val="BodyText"/>
      </w:pPr>
      <w:r>
        <w:t xml:space="preserve">Meridian Advisory Group | Israel Jerusalem | 12 King George Street, Jerusalem 94120, Israel</w:t>
      </w:r>
      <w:r>
        <w:br/>
      </w:r>
      <w:r>
        <w:t xml:space="preserve">VAT No. 51-234-567-8 | Registration No. 51-123-456-7</w:t>
      </w:r>
      <w:r>
        <w:br/>
      </w:r>
      <w:r>
        <w:t xml:space="preserve">This Quotation Estimate is the property of Meridian Advisory Group and is intended solely for the named client.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Services - Israel Jerusalem</dc:title>
  <dc:creator/>
  <dc:language>en</dc:language>
  <cp:keywords/>
  <dcterms:created xsi:type="dcterms:W3CDTF">2026-10-10T01:55:39Z</dcterms:created>
  <dcterms:modified xsi:type="dcterms:W3CDTF">2026-10-10T01:55:39Z</dcterms:modified>
</cp:coreProperties>
</file>

<file path=docProps/custom.xml><?xml version="1.0" encoding="utf-8"?>
<Properties xmlns="http://schemas.openxmlformats.org/officeDocument/2006/custom-properties" xmlns:vt="http://schemas.openxmlformats.org/officeDocument/2006/docPropsVTypes"/>
</file>