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 Financial Analyst Engagement –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QTE-2025-MIL-0472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Studio Finanziario Lombardo S.r.l. – Via Montenapoleone 42, 20121 Milan, Italy</w:t>
            </w:r>
          </w:p>
        </w:tc>
      </w:tr>
      <w:tr>
        <w:tc>
          <w:tcPr/>
          <w:p>
            <w:pPr>
              <w:pStyle w:val="Compact"/>
              <w:jc w:val="left"/>
            </w:pPr>
            <w:r>
              <w:t xml:space="preserve">Prepared For</w:t>
            </w:r>
          </w:p>
        </w:tc>
        <w:tc>
          <w:tcPr/>
          <w:p>
            <w:pPr>
              <w:pStyle w:val="Compact"/>
              <w:jc w:val="left"/>
            </w:pPr>
            <w:r>
              <w:t xml:space="preserve">Client Name / Company – Address in Italy Milan</w:t>
            </w:r>
          </w:p>
        </w:tc>
      </w:tr>
      <w:tr>
        <w:tc>
          <w:tcPr/>
          <w:p>
            <w:pPr>
              <w:pStyle w:val="Compact"/>
              <w:jc w:val="left"/>
            </w:pPr>
            <w:r>
              <w:t xml:space="preserve">Reference</w:t>
            </w:r>
          </w:p>
        </w:tc>
        <w:tc>
          <w:tcPr/>
          <w:p>
            <w:pPr>
              <w:pStyle w:val="Compact"/>
              <w:jc w:val="left"/>
            </w:pPr>
            <w:r>
              <w:t xml:space="preserve">RFQ-2025/089 – Financial Analyst Position – Milan Office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Studio Finanziario Lombardo S.r.l. in response to the formal request for proposal received from the client regarding the recruitment, onboarding, and ongoing professional engagement of a qualified</w:t>
      </w:r>
      <w:r>
        <w:t xml:space="preserve"> </w:t>
      </w:r>
      <w:r>
        <w:t xml:space="preserve">Financial Analyst</w:t>
      </w:r>
      <w:r>
        <w:t xml:space="preserve"> </w:t>
      </w:r>
      <w:r>
        <w:t xml:space="preserve">to be based in the</w:t>
      </w:r>
      <w:r>
        <w:t xml:space="preserve"> </w:t>
      </w:r>
      <w:r>
        <w:t xml:space="preserve">Italy Milan</w:t>
      </w:r>
      <w:r>
        <w:t xml:space="preserve"> </w:t>
      </w:r>
      <w:r>
        <w:t xml:space="preserve">metropolitan area. The purpose of this document is to provide a comprehensive, itemised breakdown of all costs, deliverables, timelines, and contractual conditions associated with the proposed engagement. All figures presented herein are expressed in Euro (EUR) and are subject to the terms and conditions outlined in Section 7 of this</w:t>
      </w:r>
      <w:r>
        <w:t xml:space="preserve"> </w:t>
      </w:r>
      <w:r>
        <w:t xml:space="preserve">Quotation Estimate</w:t>
      </w:r>
      <w:r>
        <w:t xml:space="preserve">.</w:t>
      </w:r>
    </w:p>
    <w:bookmarkEnd w:id="21"/>
    <w:bookmarkStart w:id="22" w:name="scope-of-services-financial-analyst-role"/>
    <w:p>
      <w:pPr>
        <w:pStyle w:val="Heading2"/>
      </w:pPr>
      <w:r>
        <w:t xml:space="preserve">2. Scope of Services – Financial Analyst Role</w:t>
      </w:r>
    </w:p>
    <w:p>
      <w:pPr>
        <w:pStyle w:val="FirstParagraph"/>
      </w:pPr>
      <w:r>
        <w:t xml:space="preserve">The proposed</w:t>
      </w:r>
      <w:r>
        <w:t xml:space="preserve"> </w:t>
      </w:r>
      <w:r>
        <w:t xml:space="preserve">Financial Analyst</w:t>
      </w:r>
      <w:r>
        <w:t xml:space="preserve"> </w:t>
      </w:r>
      <w:r>
        <w:t xml:space="preserve">engagement encompasses the following core responsibilities and deliverables, tailored to the operational needs of the client's</w:t>
      </w:r>
      <w:r>
        <w:t xml:space="preserve"> </w:t>
      </w:r>
      <w:r>
        <w:t xml:space="preserve">Italy Milan</w:t>
      </w:r>
      <w:r>
        <w:t xml:space="preserve"> </w:t>
      </w:r>
      <w:r>
        <w:t xml:space="preserve">headquarters:</w:t>
      </w:r>
    </w:p>
    <w:p>
      <w:pPr>
        <w:numPr>
          <w:ilvl w:val="0"/>
          <w:numId w:val="1001"/>
        </w:numPr>
        <w:pStyle w:val="Compact"/>
      </w:pPr>
      <w:r>
        <w:rPr>
          <w:bCs/>
          <w:b/>
        </w:rPr>
        <w:t xml:space="preserve">Financial Modelling &amp; Forecasting:</w:t>
      </w:r>
      <w:r>
        <w:t xml:space="preserve"> </w:t>
      </w:r>
      <w:r>
        <w:t xml:space="preserve">Development and maintenance of multi-year financial models, revenue projections, and cash-flow forecasts aligned with the client's strategic objectives in the Milan market.</w:t>
      </w:r>
    </w:p>
    <w:p>
      <w:pPr>
        <w:numPr>
          <w:ilvl w:val="0"/>
          <w:numId w:val="1001"/>
        </w:numPr>
        <w:pStyle w:val="Compact"/>
      </w:pPr>
      <w:r>
        <w:rPr>
          <w:bCs/>
          <w:b/>
        </w:rPr>
        <w:t xml:space="preserve">Performance Reporting:</w:t>
      </w:r>
      <w:r>
        <w:t xml:space="preserve"> </w:t>
      </w:r>
      <w:r>
        <w:t xml:space="preserve">Preparation of monthly, quarterly, and annual financial performance reports, including variance analysis, KPI dashboards, and executive summaries for the board of directors.</w:t>
      </w:r>
    </w:p>
    <w:p>
      <w:pPr>
        <w:numPr>
          <w:ilvl w:val="0"/>
          <w:numId w:val="1001"/>
        </w:numPr>
        <w:pStyle w:val="Compact"/>
      </w:pPr>
      <w:r>
        <w:rPr>
          <w:bCs/>
          <w:b/>
        </w:rPr>
        <w:t xml:space="preserve">Budgeting &amp; Planning:</w:t>
      </w:r>
      <w:r>
        <w:t xml:space="preserve"> </w:t>
      </w:r>
      <w:r>
        <w:t xml:space="preserve">Coordination of the annual budgeting cycle, capital expenditure planning, and scenario analysis for the</w:t>
      </w:r>
      <w:r>
        <w:t xml:space="preserve"> </w:t>
      </w:r>
      <w:r>
        <w:t xml:space="preserve">Italy Milan</w:t>
      </w:r>
      <w:r>
        <w:t xml:space="preserve"> </w:t>
      </w:r>
      <w:r>
        <w:t xml:space="preserve">regional operations.</w:t>
      </w:r>
    </w:p>
    <w:p>
      <w:pPr>
        <w:numPr>
          <w:ilvl w:val="0"/>
          <w:numId w:val="1001"/>
        </w:numPr>
        <w:pStyle w:val="Compact"/>
      </w:pPr>
      <w:r>
        <w:rPr>
          <w:bCs/>
          <w:b/>
        </w:rPr>
        <w:t xml:space="preserve">Investment Analysis:</w:t>
      </w:r>
      <w:r>
        <w:t xml:space="preserve"> </w:t>
      </w:r>
      <w:r>
        <w:t xml:space="preserve">Evaluation of potential mergers, acquisitions, and joint ventures relevant to the client's growth strategy in the Lombardy region and broader Italian market.</w:t>
      </w:r>
    </w:p>
    <w:p>
      <w:pPr>
        <w:numPr>
          <w:ilvl w:val="0"/>
          <w:numId w:val="1001"/>
        </w:numPr>
        <w:pStyle w:val="Compact"/>
      </w:pPr>
      <w:r>
        <w:rPr>
          <w:bCs/>
          <w:b/>
        </w:rPr>
        <w:t xml:space="preserve">Regulatory Compliance:</w:t>
      </w:r>
      <w:r>
        <w:t xml:space="preserve"> </w:t>
      </w:r>
      <w:r>
        <w:t xml:space="preserve">Ensuring all financial reporting adheres to Italian GAAP (OIC) standards, IFRS requirements, and the regulatory framework enforced by the Banca d'Italia and CONSOB.</w:t>
      </w:r>
    </w:p>
    <w:p>
      <w:pPr>
        <w:numPr>
          <w:ilvl w:val="0"/>
          <w:numId w:val="1001"/>
        </w:numPr>
        <w:pStyle w:val="Compact"/>
      </w:pPr>
      <w:r>
        <w:rPr>
          <w:bCs/>
          <w:b/>
        </w:rPr>
        <w:t xml:space="preserve">Stakeholder Communication:</w:t>
      </w:r>
      <w:r>
        <w:t xml:space="preserve"> </w:t>
      </w:r>
      <w:r>
        <w:t xml:space="preserve">Liaison with external auditors, tax advisors, and banking partners operating within the</w:t>
      </w:r>
      <w:r>
        <w:t xml:space="preserve"> </w:t>
      </w:r>
      <w:r>
        <w:t xml:space="preserve">Italy Milan</w:t>
      </w:r>
      <w:r>
        <w:t xml:space="preserve"> </w:t>
      </w:r>
      <w:r>
        <w:t xml:space="preserve">financial district.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(EUR)</w:t>
            </w:r>
          </w:p>
        </w:tc>
      </w:tr>
      <w:tr>
        <w:tc>
          <w:tcPr/>
          <w:p>
            <w:pPr>
              <w:pStyle w:val="Compact"/>
              <w:jc w:val="left"/>
            </w:pPr>
            <w:r>
              <w:t xml:space="preserve">3.1</w:t>
            </w:r>
          </w:p>
        </w:tc>
        <w:tc>
          <w:tcPr/>
          <w:p>
            <w:pPr>
              <w:pStyle w:val="Compact"/>
              <w:jc w:val="left"/>
            </w:pPr>
            <w:r>
              <w:t xml:space="preserve">Recruitment &amp; Sourcing of Financial Analyst (Milan market)</w:t>
            </w:r>
          </w:p>
        </w:tc>
        <w:tc>
          <w:tcPr/>
          <w:p>
            <w:pPr>
              <w:pStyle w:val="Compact"/>
              <w:jc w:val="left"/>
            </w:pPr>
            <w:r>
              <w:t xml:space="preserve">4 weeks</w:t>
            </w:r>
          </w:p>
        </w:tc>
        <w:tc>
          <w:tcPr/>
          <w:p>
            <w:pPr>
              <w:pStyle w:val="Compact"/>
              <w:jc w:val="left"/>
            </w:pPr>
            <w:r>
              <w:t xml:space="preserve">€ 8,500.00</w:t>
            </w:r>
          </w:p>
        </w:tc>
      </w:tr>
      <w:tr>
        <w:tc>
          <w:tcPr/>
          <w:p>
            <w:pPr>
              <w:pStyle w:val="Compact"/>
              <w:jc w:val="left"/>
            </w:pPr>
            <w:r>
              <w:t xml:space="preserve">3.2</w:t>
            </w:r>
          </w:p>
        </w:tc>
        <w:tc>
          <w:tcPr/>
          <w:p>
            <w:pPr>
              <w:pStyle w:val="Compact"/>
              <w:jc w:val="left"/>
            </w:pPr>
            <w:r>
              <w:t xml:space="preserve">Onboarding, IT Setup &amp; Compliance Registration (Italy Milan office)</w:t>
            </w:r>
          </w:p>
        </w:tc>
        <w:tc>
          <w:tcPr/>
          <w:p>
            <w:pPr>
              <w:pStyle w:val="Compact"/>
              <w:jc w:val="left"/>
            </w:pPr>
            <w:r>
              <w:t xml:space="preserve">2 weeks</w:t>
            </w:r>
          </w:p>
        </w:tc>
        <w:tc>
          <w:tcPr/>
          <w:p>
            <w:pPr>
              <w:pStyle w:val="Compact"/>
              <w:jc w:val="left"/>
            </w:pPr>
            <w:r>
              <w:t xml:space="preserve">€ 3,200.00</w:t>
            </w:r>
          </w:p>
        </w:tc>
      </w:tr>
      <w:tr>
        <w:tc>
          <w:tcPr/>
          <w:p>
            <w:pPr>
              <w:pStyle w:val="Compact"/>
              <w:jc w:val="left"/>
            </w:pPr>
            <w:r>
              <w:t xml:space="preserve">3.3</w:t>
            </w:r>
          </w:p>
        </w:tc>
        <w:tc>
          <w:tcPr/>
          <w:p>
            <w:pPr>
              <w:pStyle w:val="Compact"/>
              <w:jc w:val="left"/>
            </w:pPr>
            <w:r>
              <w:t xml:space="preserve">Monthly Professional Fee – Financial Analyst (Senior Level)</w:t>
            </w:r>
          </w:p>
        </w:tc>
        <w:tc>
          <w:tcPr/>
          <w:p>
            <w:pPr>
              <w:pStyle w:val="Compact"/>
              <w:jc w:val="left"/>
            </w:pPr>
            <w:r>
              <w:t xml:space="preserve">12 months</w:t>
            </w:r>
          </w:p>
        </w:tc>
        <w:tc>
          <w:tcPr/>
          <w:p>
            <w:pPr>
              <w:pStyle w:val="Compact"/>
              <w:jc w:val="left"/>
            </w:pPr>
            <w:r>
              <w:t xml:space="preserve">€ 14,800.00 / month</w:t>
            </w:r>
          </w:p>
        </w:tc>
      </w:tr>
      <w:tr>
        <w:tc>
          <w:tcPr/>
          <w:p>
            <w:pPr>
              <w:pStyle w:val="Compact"/>
              <w:jc w:val="left"/>
            </w:pPr>
            <w:r>
              <w:t xml:space="preserve">3.4</w:t>
            </w:r>
          </w:p>
        </w:tc>
        <w:tc>
          <w:tcPr/>
          <w:p>
            <w:pPr>
              <w:pStyle w:val="Compact"/>
              <w:jc w:val="left"/>
            </w:pPr>
            <w:r>
              <w:t xml:space="preserve">Annual Social Security &amp; INPS Contributions (Italy statutory)</w:t>
            </w:r>
          </w:p>
        </w:tc>
        <w:tc>
          <w:tcPr/>
          <w:p>
            <w:pPr>
              <w:pStyle w:val="Compact"/>
              <w:jc w:val="left"/>
            </w:pPr>
            <w:r>
              <w:t xml:space="preserve">12 months</w:t>
            </w:r>
          </w:p>
        </w:tc>
        <w:tc>
          <w:tcPr/>
          <w:p>
            <w:pPr>
              <w:pStyle w:val="Compact"/>
              <w:jc w:val="left"/>
            </w:pPr>
            <w:r>
              <w:t xml:space="preserve">€ 5,400.00 / month</w:t>
            </w:r>
          </w:p>
        </w:tc>
      </w:tr>
      <w:tr>
        <w:tc>
          <w:tcPr/>
          <w:p>
            <w:pPr>
              <w:pStyle w:val="Compact"/>
              <w:jc w:val="left"/>
            </w:pPr>
            <w:r>
              <w:t xml:space="preserve">3.5</w:t>
            </w:r>
          </w:p>
        </w:tc>
        <w:tc>
          <w:tcPr/>
          <w:p>
            <w:pPr>
              <w:pStyle w:val="Compact"/>
              <w:jc w:val="left"/>
            </w:pPr>
            <w:r>
              <w:t xml:space="preserve">Professional Liability Insurance (Financial Analyst, Milan jurisdiction)</w:t>
            </w:r>
          </w:p>
        </w:tc>
        <w:tc>
          <w:tcPr/>
          <w:p>
            <w:pPr>
              <w:pStyle w:val="Compact"/>
              <w:jc w:val="left"/>
            </w:pPr>
            <w:r>
              <w:t xml:space="preserve">12 months</w:t>
            </w:r>
          </w:p>
        </w:tc>
        <w:tc>
          <w:tcPr/>
          <w:p>
            <w:pPr>
              <w:pStyle w:val="Compact"/>
              <w:jc w:val="left"/>
            </w:pPr>
            <w:r>
              <w:t xml:space="preserve">€ 2,100.00</w:t>
            </w:r>
          </w:p>
        </w:tc>
      </w:tr>
      <w:tr>
        <w:tc>
          <w:tcPr/>
          <w:p>
            <w:pPr>
              <w:pStyle w:val="Compact"/>
              <w:jc w:val="left"/>
            </w:pPr>
            <w:r>
              <w:t xml:space="preserve">3.6</w:t>
            </w:r>
          </w:p>
        </w:tc>
        <w:tc>
          <w:tcPr/>
          <w:p>
            <w:pPr>
              <w:pStyle w:val="Compact"/>
              <w:jc w:val="left"/>
            </w:pPr>
            <w:r>
              <w:t xml:space="preserve">Software Licences (Bloomberg Terminal, SAP, Power BI)</w:t>
            </w:r>
          </w:p>
        </w:tc>
        <w:tc>
          <w:tcPr/>
          <w:p>
            <w:pPr>
              <w:pStyle w:val="Compact"/>
              <w:jc w:val="left"/>
            </w:pPr>
            <w:r>
              <w:t xml:space="preserve">12 months</w:t>
            </w:r>
          </w:p>
        </w:tc>
        <w:tc>
          <w:tcPr/>
          <w:p>
            <w:pPr>
              <w:pStyle w:val="Compact"/>
              <w:jc w:val="left"/>
            </w:pPr>
            <w:r>
              <w:t xml:space="preserve">€ 18,600.00</w:t>
            </w:r>
          </w:p>
        </w:tc>
      </w:tr>
      <w:tr>
        <w:tc>
          <w:tcPr/>
          <w:p>
            <w:pPr>
              <w:pStyle w:val="Compact"/>
              <w:jc w:val="left"/>
            </w:pPr>
            <w:r>
              <w:t xml:space="preserve">3.7</w:t>
            </w:r>
          </w:p>
        </w:tc>
        <w:tc>
          <w:tcPr/>
          <w:p>
            <w:pPr>
              <w:pStyle w:val="Compact"/>
              <w:jc w:val="left"/>
            </w:pPr>
            <w:r>
              <w:t xml:space="preserve">Office Space Allocation – Via della Spiga, Italy Milan</w:t>
            </w:r>
          </w:p>
        </w:tc>
        <w:tc>
          <w:tcPr/>
          <w:p>
            <w:pPr>
              <w:pStyle w:val="Compact"/>
              <w:jc w:val="left"/>
            </w:pPr>
            <w:r>
              <w:t xml:space="preserve">12 months</w:t>
            </w:r>
          </w:p>
        </w:tc>
        <w:tc>
          <w:tcPr/>
          <w:p>
            <w:pPr>
              <w:pStyle w:val="Compact"/>
              <w:jc w:val="left"/>
            </w:pPr>
            <w:r>
              <w:t xml:space="preserve">€ 4,500.00 / month</w:t>
            </w:r>
          </w:p>
        </w:tc>
      </w:tr>
      <w:tr>
        <w:tc>
          <w:tcPr/>
          <w:p>
            <w:pPr>
              <w:pStyle w:val="Compact"/>
              <w:jc w:val="left"/>
            </w:pPr>
            <w:r>
              <w:t xml:space="preserve">3.8</w:t>
            </w:r>
          </w:p>
        </w:tc>
        <w:tc>
          <w:tcPr/>
          <w:p>
            <w:pPr>
              <w:pStyle w:val="Compact"/>
              <w:jc w:val="left"/>
            </w:pPr>
            <w:r>
              <w:t xml:space="preserve">Quarterly Strategic Review &amp; Advisory Sessions</w:t>
            </w:r>
          </w:p>
        </w:tc>
        <w:tc>
          <w:tcPr/>
          <w:p>
            <w:pPr>
              <w:pStyle w:val="Compact"/>
              <w:jc w:val="left"/>
            </w:pPr>
            <w:r>
              <w:t xml:space="preserve">4 sessions</w:t>
            </w:r>
          </w:p>
        </w:tc>
        <w:tc>
          <w:tcPr/>
          <w:p>
            <w:pPr>
              <w:pStyle w:val="Compact"/>
              <w:jc w:val="left"/>
            </w:pPr>
            <w:r>
              <w:t xml:space="preserve">€ 6,000.00</w:t>
            </w:r>
          </w:p>
        </w:tc>
      </w:tr>
      <w:tr>
        <w:tc>
          <w:tcPr/>
          <w:p>
            <w:pPr>
              <w:pStyle w:val="Compact"/>
              <w:jc w:val="left"/>
            </w:pPr>
            <w:r>
              <w:t xml:space="preserve">3.9</w:t>
            </w:r>
          </w:p>
        </w:tc>
        <w:tc>
          <w:tcPr/>
          <w:p>
            <w:pPr>
              <w:pStyle w:val="Compact"/>
              <w:jc w:val="left"/>
            </w:pPr>
            <w:r>
              <w:t xml:space="preserve">Annual Performance Appraisal &amp; Succession Planning</w:t>
            </w:r>
          </w:p>
        </w:tc>
        <w:tc>
          <w:tcPr/>
          <w:p>
            <w:pPr>
              <w:pStyle w:val="Compact"/>
              <w:jc w:val="left"/>
            </w:pPr>
            <w:r>
              <w:t xml:space="preserve">1 session</w:t>
            </w:r>
          </w:p>
        </w:tc>
        <w:tc>
          <w:tcPr/>
          <w:p>
            <w:pPr>
              <w:pStyle w:val="Compact"/>
              <w:jc w:val="left"/>
            </w:pPr>
            <w:r>
              <w:t xml:space="preserve">€ 2,500.00</w:t>
            </w:r>
          </w:p>
        </w:tc>
      </w:tr>
      <w:tr>
        <w:tc>
          <w:tcPr>
            <w:gridSpan w:val="3"/>
          </w:tcPr>
          <w:p>
            <w:pPr>
              <w:pStyle w:val="Compact"/>
              <w:jc w:val="left"/>
            </w:pPr>
            <w:r>
              <w:t xml:space="preserve">TOTAL ESTIMATED ANNUAL COST (excluding VAT 22%)</w:t>
            </w:r>
          </w:p>
        </w:tc>
        <w:tc>
          <w:tcPr/>
          <w:p>
            <w:pPr>
              <w:pStyle w:val="Compact"/>
              <w:jc w:val="left"/>
            </w:pPr>
            <w:r>
              <w:t xml:space="preserve">€ 289,600.00</w:t>
            </w:r>
          </w:p>
        </w:tc>
      </w:tr>
      <w:tr>
        <w:tc>
          <w:tcPr>
            <w:gridSpan w:val="3"/>
          </w:tcPr>
          <w:p>
            <w:pPr>
              <w:pStyle w:val="Compact"/>
              <w:jc w:val="left"/>
            </w:pPr>
            <w:r>
              <w:t xml:space="preserve">VAT (22% – Italian Standard Rate)</w:t>
            </w:r>
          </w:p>
        </w:tc>
        <w:tc>
          <w:tcPr/>
          <w:p>
            <w:pPr>
              <w:pStyle w:val="Compact"/>
              <w:jc w:val="left"/>
            </w:pPr>
            <w:r>
              <w:t xml:space="preserve">€ 63,712.00</w:t>
            </w:r>
          </w:p>
        </w:tc>
      </w:tr>
      <w:tr>
        <w:tc>
          <w:tcPr>
            <w:gridSpan w:val="3"/>
          </w:tcPr>
          <w:p>
            <w:pPr>
              <w:pStyle w:val="Compact"/>
              <w:jc w:val="left"/>
            </w:pPr>
            <w:r>
              <w:t xml:space="preserve">GRAND TOTAL (VAT Included)</w:t>
            </w:r>
          </w:p>
        </w:tc>
        <w:tc>
          <w:tcPr/>
          <w:p>
            <w:pPr>
              <w:pStyle w:val="Compact"/>
              <w:jc w:val="left"/>
            </w:pPr>
            <w:r>
              <w:t xml:space="preserve">€ 353,312.00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via bank transfer (bonifico bancario) to the account of Studio Finanziario Lombardo S.r.l. at Intesa Sanpaolo, Milan branch. Invoices will be issued on a monthly basis, payable within 30 days of the invoice date. A 15% advance payment is required upon acceptance of this</w:t>
      </w:r>
      <w:r>
        <w:t xml:space="preserve"> </w:t>
      </w:r>
      <w:r>
        <w:t xml:space="preserve">Quotation Estimate</w:t>
      </w:r>
      <w:r>
        <w:t xml:space="preserve"> </w:t>
      </w:r>
      <w:r>
        <w:t xml:space="preserve">to initiate the recruitment and onboarding process for the</w:t>
      </w:r>
      <w:r>
        <w:t xml:space="preserve"> </w:t>
      </w:r>
      <w:r>
        <w:t xml:space="preserve">Financial Analyst</w:t>
      </w:r>
      <w:r>
        <w:t xml:space="preserve"> </w:t>
      </w:r>
      <w:r>
        <w:t xml:space="preserve">position in</w:t>
      </w:r>
      <w:r>
        <w:t xml:space="preserve"> </w:t>
      </w:r>
      <w:r>
        <w:t xml:space="preserve">Italy Milan</w:t>
      </w:r>
      <w:r>
        <w:t xml:space="preserve">.</w:t>
      </w:r>
    </w:p>
    <w:bookmarkEnd w:id="24"/>
    <w:bookmarkStart w:id="25" w:name="assumptions-exclusions"/>
    <w:p>
      <w:pPr>
        <w:pStyle w:val="Heading2"/>
      </w:pPr>
      <w:r>
        <w:t xml:space="preserve">5. Assumptions &amp; Exclusions</w:t>
      </w:r>
    </w:p>
    <w:p>
      <w:pPr>
        <w:numPr>
          <w:ilvl w:val="0"/>
          <w:numId w:val="1002"/>
        </w:numPr>
        <w:pStyle w:val="Compact"/>
      </w:pPr>
      <w:r>
        <w:t xml:space="preserve">This</w:t>
      </w:r>
      <w:r>
        <w:t xml:space="preserve"> </w:t>
      </w:r>
      <w:r>
        <w:t xml:space="preserve">Quotation Estimate</w:t>
      </w:r>
      <w:r>
        <w:t xml:space="preserve"> </w:t>
      </w:r>
      <w:r>
        <w:t xml:space="preserve">assumes the client will provide a dedicated workspace within the</w:t>
      </w:r>
      <w:r>
        <w:t xml:space="preserve"> </w:t>
      </w:r>
      <w:r>
        <w:t xml:space="preserve">Italy Milan</w:t>
      </w:r>
      <w:r>
        <w:t xml:space="preserve"> </w:t>
      </w:r>
      <w:r>
        <w:t xml:space="preserve">office premises. Should the client require a fully managed office solution, additional costs will apply as per the rate card attached as Appendix A.</w:t>
      </w:r>
    </w:p>
    <w:p>
      <w:pPr>
        <w:numPr>
          <w:ilvl w:val="0"/>
          <w:numId w:val="1002"/>
        </w:numPr>
        <w:pStyle w:val="Compact"/>
      </w:pPr>
      <w:r>
        <w:t xml:space="preserve">The</w:t>
      </w:r>
      <w:r>
        <w:t xml:space="preserve"> </w:t>
      </w:r>
      <w:r>
        <w:t xml:space="preserve">Financial Analyst</w:t>
      </w:r>
      <w:r>
        <w:t xml:space="preserve"> </w:t>
      </w:r>
      <w:r>
        <w:t xml:space="preserve">candidate will be sourced from the local Milan professional network and must hold a minimum of five years of relevant experience in corporate finance, with proficiency in Italian and English.</w:t>
      </w:r>
    </w:p>
    <w:p>
      <w:pPr>
        <w:numPr>
          <w:ilvl w:val="0"/>
          <w:numId w:val="1002"/>
        </w:numPr>
        <w:pStyle w:val="Compact"/>
      </w:pPr>
      <w:r>
        <w:t xml:space="preserve">Costs related to travel outside the</w:t>
      </w:r>
      <w:r>
        <w:t xml:space="preserve"> </w:t>
      </w:r>
      <w:r>
        <w:t xml:space="preserve">Italy Milan</w:t>
      </w:r>
      <w:r>
        <w:t xml:space="preserve"> </w:t>
      </w:r>
      <w:r>
        <w:t xml:space="preserve">metropolitan area, international assignments, or extraordinary consulting engagements are excluded from this estimate and will be quoted separately.</w:t>
      </w:r>
    </w:p>
    <w:p>
      <w:pPr>
        <w:numPr>
          <w:ilvl w:val="0"/>
          <w:numId w:val="1002"/>
        </w:numPr>
        <w:pStyle w:val="Compact"/>
      </w:pPr>
      <w:r>
        <w:t xml:space="preserve">All statutory Italian labour law obligations, including the CCNL Commercio contract, are included in the monthly professional fee.</w:t>
      </w:r>
    </w:p>
    <w:bookmarkEnd w:id="25"/>
    <w:bookmarkStart w:id="26" w:name="validity-acceptance"/>
    <w:p>
      <w:pPr>
        <w:pStyle w:val="Heading2"/>
      </w:pPr>
      <w:r>
        <w:t xml:space="preserve">6. Validity &amp; Acceptance</w:t>
      </w:r>
    </w:p>
    <w:p>
      <w:pPr>
        <w:pStyle w:val="FirstParagraph"/>
      </w:pPr>
      <w:r>
        <w:t xml:space="preserve">This</w:t>
      </w:r>
      <w:r>
        <w:t xml:space="preserve"> </w:t>
      </w:r>
      <w:r>
        <w:t xml:space="preserve">Quotation Estimate</w:t>
      </w:r>
      <w:r>
        <w:t xml:space="preserve"> </w:t>
      </w:r>
      <w:r>
        <w:t xml:space="preserve">remains valid for a period of thirty (30) calendar days from the date of issue. Should the client wish to proceed beyond this validity window, a revised</w:t>
      </w:r>
      <w:r>
        <w:t xml:space="preserve"> </w:t>
      </w:r>
      <w:r>
        <w:t xml:space="preserve">Quotation Estimate</w:t>
      </w:r>
      <w:r>
        <w:t xml:space="preserve"> </w:t>
      </w:r>
      <w:r>
        <w:t xml:space="preserve">reflecting current market rates for</w:t>
      </w:r>
      <w:r>
        <w:t xml:space="preserve"> </w:t>
      </w:r>
      <w:r>
        <w:t xml:space="preserve">Financial Analyst</w:t>
      </w:r>
      <w:r>
        <w:t xml:space="preserve"> </w:t>
      </w:r>
      <w:r>
        <w:t xml:space="preserve">professionals in</w:t>
      </w:r>
      <w:r>
        <w:t xml:space="preserve"> </w:t>
      </w:r>
      <w:r>
        <w:t xml:space="preserve">Italy Milan</w:t>
      </w:r>
      <w:r>
        <w:t xml:space="preserve"> </w:t>
      </w:r>
      <w:r>
        <w:t xml:space="preserve">will be issued. Acceptance of this document constitutes a binding agreement between the parties for the scope of services described herein.</w:t>
      </w:r>
    </w:p>
    <w:bookmarkEnd w:id="26"/>
    <w:bookmarkStart w:id="27" w:name="terms-conditions"/>
    <w:p>
      <w:pPr>
        <w:pStyle w:val="Heading2"/>
      </w:pPr>
      <w:r>
        <w:t xml:space="preserve">7. Terms &amp; Conditions</w:t>
      </w:r>
    </w:p>
    <w:p>
      <w:pPr>
        <w:numPr>
          <w:ilvl w:val="0"/>
          <w:numId w:val="1003"/>
        </w:numPr>
        <w:pStyle w:val="Compact"/>
      </w:pPr>
      <w:r>
        <w:t xml:space="preserve">This engagement is governed by the laws of the Italian Republic, with jurisdiction vested in the Tribunale di Milano.</w:t>
      </w:r>
    </w:p>
    <w:p>
      <w:pPr>
        <w:numPr>
          <w:ilvl w:val="0"/>
          <w:numId w:val="1003"/>
        </w:numPr>
        <w:pStyle w:val="Compact"/>
      </w:pPr>
      <w:r>
        <w:t xml:space="preserve">Either party may terminate the agreement with 60 days' written notice. In the event of early termination, a pro-rata settlement of all committed costs for the</w:t>
      </w:r>
      <w:r>
        <w:t xml:space="preserve"> </w:t>
      </w:r>
      <w:r>
        <w:t xml:space="preserve">Financial Analyst</w:t>
      </w:r>
      <w:r>
        <w:t xml:space="preserve"> </w:t>
      </w:r>
      <w:r>
        <w:t xml:space="preserve">engagement will be applied.</w:t>
      </w:r>
    </w:p>
    <w:p>
      <w:pPr>
        <w:numPr>
          <w:ilvl w:val="0"/>
          <w:numId w:val="1003"/>
        </w:numPr>
        <w:pStyle w:val="Compact"/>
      </w:pPr>
      <w:r>
        <w:t xml:space="preserve">Confidentiality obligations under Italian Law No. 675/1996 (and subsequent GDPR compliance) shall apply to all financial data handled by the</w:t>
      </w:r>
      <w:r>
        <w:t xml:space="preserve"> </w:t>
      </w:r>
      <w:r>
        <w:t xml:space="preserve">Financial Analyst</w:t>
      </w:r>
      <w:r>
        <w:t xml:space="preserve"> </w:t>
      </w:r>
      <w:r>
        <w:t xml:space="preserve">during the engagement in</w:t>
      </w:r>
      <w:r>
        <w:t xml:space="preserve"> </w:t>
      </w:r>
      <w:r>
        <w:t xml:space="preserve">Italy Milan</w:t>
      </w:r>
      <w:r>
        <w:t xml:space="preserve">.</w:t>
      </w:r>
    </w:p>
    <w:p>
      <w:pPr>
        <w:numPr>
          <w:ilvl w:val="0"/>
          <w:numId w:val="1003"/>
        </w:numPr>
        <w:pStyle w:val="Compact"/>
      </w:pPr>
      <w:r>
        <w:t xml:space="preserve">Any disputes arising from this</w:t>
      </w:r>
      <w:r>
        <w:t xml:space="preserve"> </w:t>
      </w:r>
      <w:r>
        <w:t xml:space="preserve">Quotation Estimate</w:t>
      </w:r>
      <w:r>
        <w:t xml:space="preserve"> </w:t>
      </w:r>
      <w:r>
        <w:t xml:space="preserve">shall be resolved through mediation before the Camera di Commercio di Milano, before escalation to judicial proceedings.</w:t>
      </w:r>
    </w:p>
    <w:p>
      <w:pPr>
        <w:pStyle w:val="FirstParagraph"/>
      </w:pPr>
      <w:r>
        <w:rPr>
          <w:bCs/>
          <w:b/>
        </w:rPr>
        <w:t xml:space="preserve">For Studio Finanziario Lombardo S.r.l.</w:t>
      </w:r>
      <w:r>
        <w:br/>
      </w:r>
      <w:r>
        <w:t xml:space="preserve">Authorised Signatory</w:t>
      </w:r>
      <w:r>
        <w:br/>
      </w:r>
      <w:r>
        <w:t xml:space="preserve">Date: _______________</w:t>
      </w:r>
    </w:p>
    <w:p>
      <w:pPr>
        <w:pStyle w:val="BodyText"/>
      </w:pPr>
      <w:r>
        <w:rPr>
          <w:bCs/>
          <w:b/>
        </w:rPr>
        <w:t xml:space="preserve">For the Client</w:t>
      </w:r>
      <w:r>
        <w:br/>
      </w:r>
      <w:r>
        <w:t xml:space="preserve">Authorised Representative</w:t>
      </w:r>
      <w:r>
        <w:br/>
      </w:r>
      <w:r>
        <w:t xml:space="preserve">Date: _______________</w:t>
      </w:r>
    </w:p>
    <w:p>
      <w:pPr>
        <w:pStyle w:val="BodyText"/>
      </w:pPr>
      <w:r>
        <w:t xml:space="preserve">Quotation Estimate No. QTE-2025-MIL-0472 | Studio Finanziario Lombardo S.r.l. | P.IVA: IT01234567890 | Via Montenapoleone 42, 20121 Milan, Italy</w:t>
      </w:r>
      <w:r>
        <w:br/>
      </w:r>
      <w:r>
        <w:t xml:space="preserve">This document is a Quotation Estimate for a Financial Analyst engagement in Italy Milan and does not constitute a final invoice. All terms are subject to mutual written agreement.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Italy Milan</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