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Financial</w:t>
      </w:r>
      <w:r>
        <w:t xml:space="preserve"> </w:t>
      </w:r>
      <w:r>
        <w:t xml:space="preserve">Analyst</w:t>
      </w:r>
      <w:r>
        <w:t xml:space="preserve"> </w:t>
      </w:r>
      <w:r>
        <w:t xml:space="preserve">-</w:t>
      </w:r>
      <w:r>
        <w:t xml:space="preserve"> </w:t>
      </w:r>
      <w:r>
        <w:t xml:space="preserve">Japan</w:t>
      </w:r>
      <w:r>
        <w:t xml:space="preserve"> </w:t>
      </w:r>
      <w:r>
        <w:t xml:space="preserve">Osaka</w:t>
      </w:r>
    </w:p>
    <w:bookmarkStart w:id="20" w:name="quotation-estimate"/>
    <w:p>
      <w:pPr>
        <w:pStyle w:val="Heading1"/>
      </w:pPr>
      <w:r>
        <w:t xml:space="preserve">QUOTATION ESTIMATE</w:t>
      </w:r>
    </w:p>
    <w:p>
      <w:pPr>
        <w:pStyle w:val="FirstParagraph"/>
      </w:pPr>
      <w:r>
        <w:t xml:space="preserve">Professional Financial Analyst Services — Japan Osaka Region</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Document Reference No.</w:t>
            </w:r>
          </w:p>
        </w:tc>
        <w:tc>
          <w:tcPr/>
          <w:p>
            <w:pPr>
              <w:pStyle w:val="Compact"/>
              <w:jc w:val="left"/>
            </w:pPr>
            <w:r>
              <w:t xml:space="preserve">QE-2025-OSK-0472</w:t>
            </w:r>
          </w:p>
        </w:tc>
      </w:tr>
      <w:tr>
        <w:tc>
          <w:tcPr/>
          <w:p>
            <w:pPr>
              <w:pStyle w:val="Compact"/>
              <w:jc w:val="left"/>
            </w:pPr>
            <w:r>
              <w:t xml:space="preserve">Date of Issue</w:t>
            </w:r>
          </w:p>
        </w:tc>
        <w:tc>
          <w:tcPr/>
          <w:p>
            <w:pPr>
              <w:pStyle w:val="Compact"/>
              <w:jc w:val="left"/>
            </w:pPr>
            <w:r>
              <w:t xml:space="preserve">June 15, 2025</w:t>
            </w:r>
          </w:p>
        </w:tc>
      </w:tr>
      <w:tr>
        <w:tc>
          <w:tcPr/>
          <w:p>
            <w:pPr>
              <w:pStyle w:val="Compact"/>
              <w:jc w:val="left"/>
            </w:pPr>
            <w:r>
              <w:t xml:space="preserve">Validity Period</w:t>
            </w:r>
          </w:p>
        </w:tc>
        <w:tc>
          <w:tcPr/>
          <w:p>
            <w:pPr>
              <w:pStyle w:val="Compact"/>
              <w:jc w:val="left"/>
            </w:pPr>
            <w:r>
              <w:t xml:space="preserve">30 calendar days from date of issue</w:t>
            </w:r>
          </w:p>
        </w:tc>
      </w:tr>
      <w:tr>
        <w:tc>
          <w:tcPr/>
          <w:p>
            <w:pPr>
              <w:pStyle w:val="Compact"/>
              <w:jc w:val="left"/>
            </w:pPr>
            <w:r>
              <w:t xml:space="preserve">Prepared By</w:t>
            </w:r>
          </w:p>
        </w:tc>
        <w:tc>
          <w:tcPr/>
          <w:p>
            <w:pPr>
              <w:pStyle w:val="Compact"/>
              <w:jc w:val="left"/>
            </w:pPr>
            <w:r>
              <w:t xml:space="preserve">Osaka Business Consulting Group, Ltd.</w:t>
            </w:r>
          </w:p>
        </w:tc>
      </w:tr>
      <w:tr>
        <w:tc>
          <w:tcPr/>
          <w:p>
            <w:pPr>
              <w:pStyle w:val="Compact"/>
              <w:jc w:val="left"/>
            </w:pPr>
            <w:r>
              <w:t xml:space="preserve">Prepared For</w:t>
            </w:r>
          </w:p>
        </w:tc>
        <w:tc>
          <w:tcPr/>
          <w:p>
            <w:pPr>
              <w:pStyle w:val="Compact"/>
              <w:jc w:val="left"/>
            </w:pPr>
            <w:r>
              <w:t xml:space="preserve">Client Organization (Name to be confirmed upon acceptance)</w:t>
            </w:r>
          </w:p>
        </w:tc>
      </w:tr>
      <w:tr>
        <w:tc>
          <w:tcPr/>
          <w:p>
            <w:pPr>
              <w:pStyle w:val="Compact"/>
              <w:jc w:val="left"/>
            </w:pPr>
            <w:r>
              <w:t xml:space="preserve">Service Location</w:t>
            </w:r>
          </w:p>
        </w:tc>
        <w:tc>
          <w:tcPr/>
          <w:p>
            <w:pPr>
              <w:pStyle w:val="Compact"/>
              <w:jc w:val="left"/>
            </w:pPr>
            <w:r>
              <w:t xml:space="preserve">Japan Osaka — Umeda Business District, Kita-ku, Osaka 530-0001</w:t>
            </w:r>
          </w:p>
        </w:tc>
      </w:tr>
      <w:tr>
        <w:tc>
          <w:tcPr/>
          <w:p>
            <w:pPr>
              <w:pStyle w:val="Compact"/>
              <w:jc w:val="left"/>
            </w:pPr>
            <w:r>
              <w:t xml:space="preserve">Engagement Type</w:t>
            </w:r>
          </w:p>
        </w:tc>
        <w:tc>
          <w:tcPr/>
          <w:p>
            <w:pPr>
              <w:pStyle w:val="Compact"/>
              <w:jc w:val="left"/>
            </w:pPr>
            <w:r>
              <w:t xml:space="preserve">Full-time Financial Analyst Placement &amp; Advisory Services</w:t>
            </w:r>
          </w:p>
        </w:tc>
      </w:tr>
    </w:tbl>
    <w:bookmarkStart w:id="21" w:name="executive-summary"/>
    <w:p>
      <w:pPr>
        <w:pStyle w:val="Heading2"/>
      </w:pPr>
      <w:r>
        <w:t xml:space="preserve">1. Executive Summary</w:t>
      </w:r>
    </w:p>
    <w:p>
      <w:pPr>
        <w:pStyle w:val="FirstParagraph"/>
      </w:pPr>
      <w:r>
        <w:t xml:space="preserve">This</w:t>
      </w:r>
      <w:r>
        <w:t xml:space="preserve"> </w:t>
      </w:r>
      <w:r>
        <w:t xml:space="preserve">Quotation Estimate</w:t>
      </w:r>
      <w:r>
        <w:t xml:space="preserve"> </w:t>
      </w:r>
      <w:r>
        <w:t xml:space="preserve">is formally issued by Osaka Business Consulting Group, Ltd. to provide a comprehensive cost breakdown for the recruitment, placement, and ongoing advisory support of a qualified</w:t>
      </w:r>
      <w:r>
        <w:t xml:space="preserve"> </w:t>
      </w:r>
      <w:r>
        <w:t xml:space="preserve">Financial Analyst</w:t>
      </w:r>
      <w:r>
        <w:t xml:space="preserve"> </w:t>
      </w:r>
      <w:r>
        <w:t xml:space="preserve">within the</w:t>
      </w:r>
      <w:r>
        <w:t xml:space="preserve"> </w:t>
      </w:r>
      <w:r>
        <w:t xml:space="preserve">Japan Osaka</w:t>
      </w:r>
      <w:r>
        <w:t xml:space="preserve"> </w:t>
      </w:r>
      <w:r>
        <w:t xml:space="preserve">metropolitan area. This document outlines the scope of services, projected compensation packages, ancillary costs, and all associated terms governing the engagement. The</w:t>
      </w:r>
      <w:r>
        <w:t xml:space="preserve"> </w:t>
      </w:r>
      <w:r>
        <w:t xml:space="preserve">Financial Analyst</w:t>
      </w:r>
      <w:r>
        <w:t xml:space="preserve"> </w:t>
      </w:r>
      <w:r>
        <w:t xml:space="preserve">position described herein is tailored to meet the specific analytical, reporting, and strategic planning needs of organizations operating within the dynamic economic landscape of</w:t>
      </w:r>
      <w:r>
        <w:t xml:space="preserve"> </w:t>
      </w:r>
      <w:r>
        <w:t xml:space="preserve">Japan Osaka</w:t>
      </w:r>
      <w:r>
        <w:t xml:space="preserve">, one of the most significant commercial hubs in the Kansai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Financial Analyst</w:t>
      </w:r>
      <w:r>
        <w:t xml:space="preserve"> </w:t>
      </w:r>
      <w:r>
        <w:t xml:space="preserve">engagement encompasses the following deliverables and responsibilities, all to be executed within the</w:t>
      </w:r>
      <w:r>
        <w:t xml:space="preserve"> </w:t>
      </w:r>
      <w:r>
        <w:t xml:space="preserve">Japan Osaka</w:t>
      </w:r>
      <w:r>
        <w:t xml:space="preserve"> </w:t>
      </w:r>
      <w:r>
        <w:t xml:space="preserve">operational framework:</w:t>
      </w:r>
    </w:p>
    <w:p>
      <w:pPr>
        <w:numPr>
          <w:ilvl w:val="0"/>
          <w:numId w:val="1001"/>
        </w:numPr>
        <w:pStyle w:val="Compact"/>
      </w:pPr>
      <w:r>
        <w:rPr>
          <w:bCs/>
          <w:b/>
        </w:rPr>
        <w:t xml:space="preserve">Financial Modeling &amp; Forecasting:</w:t>
      </w:r>
      <w:r>
        <w:t xml:space="preserve"> </w:t>
      </w:r>
      <w:r>
        <w:t xml:space="preserve">Development and maintenance of multi-year financial models, revenue projections, and cash flow analyses aligned with Japanese accounting standards (J-GAAP) and International Financial Reporting Standards (IFRS).</w:t>
      </w:r>
    </w:p>
    <w:p>
      <w:pPr>
        <w:numPr>
          <w:ilvl w:val="0"/>
          <w:numId w:val="1001"/>
        </w:numPr>
        <w:pStyle w:val="Compact"/>
      </w:pPr>
      <w:r>
        <w:rPr>
          <w:bCs/>
          <w:b/>
        </w:rPr>
        <w:t xml:space="preserve">Budgeting &amp; Variance Analysis:</w:t>
      </w:r>
      <w:r>
        <w:t xml:space="preserve"> </w:t>
      </w:r>
      <w:r>
        <w:t xml:space="preserve">Preparation of annual and quarterly budgets, monthly variance reports, and cost-control recommendations for the client organization based in</w:t>
      </w:r>
      <w:r>
        <w:t xml:space="preserve"> </w:t>
      </w:r>
      <w:r>
        <w:t xml:space="preserve">Japan Osaka</w:t>
      </w:r>
      <w:r>
        <w:t xml:space="preserve">.</w:t>
      </w:r>
    </w:p>
    <w:p>
      <w:pPr>
        <w:numPr>
          <w:ilvl w:val="0"/>
          <w:numId w:val="1001"/>
        </w:numPr>
        <w:pStyle w:val="Compact"/>
      </w:pPr>
      <w:r>
        <w:rPr>
          <w:bCs/>
          <w:b/>
        </w:rPr>
        <w:t xml:space="preserve">Investment Analysis:</w:t>
      </w:r>
      <w:r>
        <w:t xml:space="preserve"> </w:t>
      </w:r>
      <w:r>
        <w:t xml:space="preserve">Evaluation of capital expenditure proposals, merger and acquisition due diligence, and portfolio performance monitoring relevant to the Osaka and broader Kansai market.</w:t>
      </w:r>
    </w:p>
    <w:p>
      <w:pPr>
        <w:numPr>
          <w:ilvl w:val="0"/>
          <w:numId w:val="1001"/>
        </w:numPr>
        <w:pStyle w:val="Compact"/>
      </w:pPr>
      <w:r>
        <w:rPr>
          <w:bCs/>
          <w:b/>
        </w:rPr>
        <w:t xml:space="preserve">Regulatory Compliance Reporting:</w:t>
      </w:r>
      <w:r>
        <w:t xml:space="preserve"> </w:t>
      </w:r>
      <w:r>
        <w:t xml:space="preserve">Ensuring all financial reporting complies with the Financial Instruments and Exchange Act of Japan, as well as local Osaka municipal business regulations.</w:t>
      </w:r>
    </w:p>
    <w:p>
      <w:pPr>
        <w:numPr>
          <w:ilvl w:val="0"/>
          <w:numId w:val="1001"/>
        </w:numPr>
        <w:pStyle w:val="Compact"/>
      </w:pPr>
      <w:r>
        <w:rPr>
          <w:bCs/>
          <w:b/>
        </w:rPr>
        <w:t xml:space="preserve">Strategic Advisory:</w:t>
      </w:r>
      <w:r>
        <w:t xml:space="preserve"> </w:t>
      </w:r>
      <w:r>
        <w:t xml:space="preserve">Providing data-driven recommendations to senior management regarding market positioning, competitive benchmarking, and long-term financial strategy within the</w:t>
      </w:r>
      <w:r>
        <w:t xml:space="preserve"> </w:t>
      </w:r>
      <w:r>
        <w:t xml:space="preserve">Japan Osaka</w:t>
      </w:r>
      <w:r>
        <w:t xml:space="preserve"> </w:t>
      </w:r>
      <w:r>
        <w:t xml:space="preserve">economic corridor.</w:t>
      </w:r>
    </w:p>
    <w:p>
      <w:pPr>
        <w:numPr>
          <w:ilvl w:val="0"/>
          <w:numId w:val="1001"/>
        </w:numPr>
        <w:pStyle w:val="Compact"/>
      </w:pPr>
      <w:r>
        <w:rPr>
          <w:bCs/>
          <w:b/>
        </w:rPr>
        <w:t xml:space="preserve">Stakeholder Communication:</w:t>
      </w:r>
      <w:r>
        <w:t xml:space="preserve"> </w:t>
      </w:r>
      <w:r>
        <w:t xml:space="preserve">Preparation of board-level presentations, investor relations materials, and quarterly earnings summaries in both Japanese and English.</w:t>
      </w:r>
    </w:p>
    <w:bookmarkEnd w:id="22"/>
    <w:bookmarkStart w:id="23" w:name="candidate-profile-qualifications"/>
    <w:p>
      <w:pPr>
        <w:pStyle w:val="Heading2"/>
      </w:pPr>
      <w:r>
        <w:t xml:space="preserve">3. Candidate Profile &amp; Qualifications</w:t>
      </w:r>
    </w:p>
    <w:p>
      <w:pPr>
        <w:pStyle w:val="FirstParagraph"/>
      </w:pPr>
      <w:r>
        <w:t xml:space="preserve">The</w:t>
      </w:r>
      <w:r>
        <w:t xml:space="preserve"> </w:t>
      </w:r>
      <w:r>
        <w:t xml:space="preserve">Financial Analyst</w:t>
      </w:r>
      <w:r>
        <w:t xml:space="preserve"> </w:t>
      </w:r>
      <w:r>
        <w:t xml:space="preserve">proposed for this engagement shall possess a minimum of five (5) years of progressive experience in corporate finance, investment banking, or management consulting. The candidate must hold a Bachelor's degree in Finance, Economics, Accounting, or a related discipline, with a Master's degree (MBA, MFin, or equivalent) strongly preferred. Professional certifications such as CFA (Chartered Financial Analyst), CPA (Japan), or ACCA are considered advantageous. Fluency in both Japanese (business-level) and English is mandatory, given the international nature of operations in</w:t>
      </w:r>
      <w:r>
        <w:t xml:space="preserve"> </w:t>
      </w:r>
      <w:r>
        <w:t xml:space="preserve">Japan Osaka</w:t>
      </w:r>
      <w:r>
        <w:t xml:space="preserve">.</w:t>
      </w:r>
    </w:p>
    <w:bookmarkEnd w:id="23"/>
    <w:bookmarkStart w:id="24" w:name="quotation-estimate-cost-breakdown"/>
    <w:p>
      <w:pPr>
        <w:pStyle w:val="Heading2"/>
      </w:pPr>
      <w:r>
        <w:t xml:space="preserve">4. Quotation Estimate — Cost Breakdown</w:t>
      </w:r>
    </w:p>
    <w:p>
      <w:pPr>
        <w:pStyle w:val="FirstParagraph"/>
      </w:pPr>
      <w:r>
        <w:t xml:space="preserve">The following</w:t>
      </w:r>
      <w:r>
        <w:t xml:space="preserve"> </w:t>
      </w:r>
      <w:r>
        <w:t xml:space="preserve">Quotation Estimate</w:t>
      </w:r>
      <w:r>
        <w:t xml:space="preserve"> </w:t>
      </w:r>
      <w:r>
        <w:t xml:space="preserve">details all costs associated with the</w:t>
      </w:r>
      <w:r>
        <w:t xml:space="preserve"> </w:t>
      </w:r>
      <w:r>
        <w:t xml:space="preserve">Financial Analyst</w:t>
      </w:r>
      <w:r>
        <w:t xml:space="preserve"> </w:t>
      </w:r>
      <w:r>
        <w:t xml:space="preserve">engagement in</w:t>
      </w:r>
      <w:r>
        <w:t xml:space="preserve"> </w:t>
      </w:r>
      <w:r>
        <w:t xml:space="preserve">Japan Osaka</w:t>
      </w:r>
      <w:r>
        <w:t xml:space="preserve">. All monetary values are expressed in Japanese Yen (JPY) unless otherwise stated.</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Description</w:t>
            </w:r>
          </w:p>
        </w:tc>
        <w:tc>
          <w:tcPr/>
          <w:p>
            <w:pPr>
              <w:pStyle w:val="Compact"/>
              <w:jc w:val="left"/>
            </w:pPr>
            <w:r>
              <w:t xml:space="preserve">Unit</w:t>
            </w:r>
          </w:p>
        </w:tc>
        <w:tc>
          <w:tcPr/>
          <w:p>
            <w:pPr>
              <w:pStyle w:val="Compact"/>
              <w:jc w:val="left"/>
            </w:pPr>
            <w:r>
              <w:t xml:space="preserve">Rate (JPY)</w:t>
            </w:r>
          </w:p>
        </w:tc>
        <w:tc>
          <w:tcPr/>
          <w:p>
            <w:pPr>
              <w:pStyle w:val="Compact"/>
              <w:jc w:val="left"/>
            </w:pPr>
            <w:r>
              <w:t xml:space="preserve">Quantity</w:t>
            </w:r>
          </w:p>
        </w:tc>
        <w:tc>
          <w:tcPr/>
          <w:p>
            <w:pPr>
              <w:pStyle w:val="Compact"/>
              <w:jc w:val="left"/>
            </w:pPr>
            <w:r>
              <w:t xml:space="preserve">Amount (JPY)</w:t>
            </w:r>
          </w:p>
        </w:tc>
      </w:tr>
      <w:tr>
        <w:tc>
          <w:tcPr/>
          <w:p>
            <w:pPr>
              <w:pStyle w:val="Compact"/>
              <w:jc w:val="left"/>
            </w:pPr>
            <w:r>
              <w:t xml:space="preserve">Annual Base Salary — Financial Analyst</w:t>
            </w:r>
          </w:p>
        </w:tc>
        <w:tc>
          <w:tcPr/>
          <w:p>
            <w:pPr>
              <w:pStyle w:val="Compact"/>
              <w:jc w:val="left"/>
            </w:pPr>
            <w:r>
              <w:t xml:space="preserve">Year</w:t>
            </w:r>
          </w:p>
        </w:tc>
        <w:tc>
          <w:tcPr/>
          <w:p>
            <w:pPr>
              <w:pStyle w:val="Compact"/>
              <w:jc w:val="left"/>
            </w:pPr>
            <w:r>
              <w:t xml:space="preserve">12,000,000</w:t>
            </w:r>
          </w:p>
        </w:tc>
        <w:tc>
          <w:tcPr/>
          <w:p>
            <w:pPr>
              <w:pStyle w:val="Compact"/>
              <w:jc w:val="left"/>
            </w:pPr>
            <w:r>
              <w:t xml:space="preserve">1</w:t>
            </w:r>
          </w:p>
        </w:tc>
        <w:tc>
          <w:tcPr/>
          <w:p>
            <w:pPr>
              <w:pStyle w:val="Compact"/>
              <w:jc w:val="left"/>
            </w:pPr>
            <w:r>
              <w:t xml:space="preserve">12,000,000</w:t>
            </w:r>
          </w:p>
        </w:tc>
      </w:tr>
      <w:tr>
        <w:tc>
          <w:tcPr/>
          <w:p>
            <w:pPr>
              <w:pStyle w:val="Compact"/>
              <w:jc w:val="left"/>
            </w:pPr>
            <w:r>
              <w:t xml:space="preserve">Performance Bonus (Target 20% of base)</w:t>
            </w:r>
          </w:p>
        </w:tc>
        <w:tc>
          <w:tcPr/>
          <w:p>
            <w:pPr>
              <w:pStyle w:val="Compact"/>
              <w:jc w:val="left"/>
            </w:pPr>
            <w:r>
              <w:t xml:space="preserve">Year</w:t>
            </w:r>
          </w:p>
        </w:tc>
        <w:tc>
          <w:tcPr/>
          <w:p>
            <w:pPr>
              <w:pStyle w:val="Compact"/>
              <w:jc w:val="left"/>
            </w:pPr>
            <w:r>
              <w:t xml:space="preserve">2,400,000</w:t>
            </w:r>
          </w:p>
        </w:tc>
        <w:tc>
          <w:tcPr/>
          <w:p>
            <w:pPr>
              <w:pStyle w:val="Compact"/>
              <w:jc w:val="left"/>
            </w:pPr>
            <w:r>
              <w:t xml:space="preserve">1</w:t>
            </w:r>
          </w:p>
        </w:tc>
        <w:tc>
          <w:tcPr/>
          <w:p>
            <w:pPr>
              <w:pStyle w:val="Compact"/>
              <w:jc w:val="left"/>
            </w:pPr>
            <w:r>
              <w:t xml:space="preserve">2,400,000</w:t>
            </w:r>
          </w:p>
        </w:tc>
      </w:tr>
      <w:tr>
        <w:tc>
          <w:tcPr/>
          <w:p>
            <w:pPr>
              <w:pStyle w:val="Compact"/>
              <w:jc w:val="left"/>
            </w:pPr>
            <w:r>
              <w:t xml:space="preserve">Recruitment &amp; Placement Fee (18% of annual base)</w:t>
            </w:r>
          </w:p>
        </w:tc>
        <w:tc>
          <w:tcPr/>
          <w:p>
            <w:pPr>
              <w:pStyle w:val="Compact"/>
              <w:jc w:val="left"/>
            </w:pPr>
            <w:r>
              <w:t xml:space="preserve">One-time</w:t>
            </w:r>
          </w:p>
        </w:tc>
        <w:tc>
          <w:tcPr/>
          <w:p>
            <w:pPr>
              <w:pStyle w:val="Compact"/>
              <w:jc w:val="left"/>
            </w:pPr>
            <w:r>
              <w:t xml:space="preserve">2,160,000</w:t>
            </w:r>
          </w:p>
        </w:tc>
        <w:tc>
          <w:tcPr/>
          <w:p>
            <w:pPr>
              <w:pStyle w:val="Compact"/>
              <w:jc w:val="left"/>
            </w:pPr>
            <w:r>
              <w:t xml:space="preserve">1</w:t>
            </w:r>
          </w:p>
        </w:tc>
        <w:tc>
          <w:tcPr/>
          <w:p>
            <w:pPr>
              <w:pStyle w:val="Compact"/>
              <w:jc w:val="left"/>
            </w:pPr>
            <w:r>
              <w:t xml:space="preserve">2,160,000</w:t>
            </w:r>
          </w:p>
        </w:tc>
      </w:tr>
      <w:tr>
        <w:tc>
          <w:tcPr/>
          <w:p>
            <w:pPr>
              <w:pStyle w:val="Compact"/>
              <w:jc w:val="left"/>
            </w:pPr>
            <w:r>
              <w:t xml:space="preserve">Onboarding &amp; Compliance Training (Japan Osaka-specific)</w:t>
            </w:r>
          </w:p>
        </w:tc>
        <w:tc>
          <w:tcPr/>
          <w:p>
            <w:pPr>
              <w:pStyle w:val="Compact"/>
              <w:jc w:val="left"/>
            </w:pPr>
            <w:r>
              <w:t xml:space="preserve">One-time</w:t>
            </w:r>
          </w:p>
        </w:tc>
        <w:tc>
          <w:tcPr/>
          <w:p>
            <w:pPr>
              <w:pStyle w:val="Compact"/>
              <w:jc w:val="left"/>
            </w:pPr>
            <w:r>
              <w:t xml:space="preserve">450,000</w:t>
            </w:r>
          </w:p>
        </w:tc>
        <w:tc>
          <w:tcPr/>
          <w:p>
            <w:pPr>
              <w:pStyle w:val="Compact"/>
              <w:jc w:val="left"/>
            </w:pPr>
            <w:r>
              <w:t xml:space="preserve">1</w:t>
            </w:r>
          </w:p>
        </w:tc>
        <w:tc>
          <w:tcPr/>
          <w:p>
            <w:pPr>
              <w:pStyle w:val="Compact"/>
              <w:jc w:val="left"/>
            </w:pPr>
            <w:r>
              <w:t xml:space="preserve">450,000</w:t>
            </w:r>
          </w:p>
        </w:tc>
      </w:tr>
      <w:tr>
        <w:tc>
          <w:tcPr/>
          <w:p>
            <w:pPr>
              <w:pStyle w:val="Compact"/>
              <w:jc w:val="left"/>
            </w:pPr>
            <w:r>
              <w:t xml:space="preserve">Annual Advisory &amp; Oversight Retainer</w:t>
            </w:r>
          </w:p>
        </w:tc>
        <w:tc>
          <w:tcPr/>
          <w:p>
            <w:pPr>
              <w:pStyle w:val="Compact"/>
              <w:jc w:val="left"/>
            </w:pPr>
            <w:r>
              <w:t xml:space="preserve">Year</w:t>
            </w:r>
          </w:p>
        </w:tc>
        <w:tc>
          <w:tcPr/>
          <w:p>
            <w:pPr>
              <w:pStyle w:val="Compact"/>
              <w:jc w:val="left"/>
            </w:pPr>
            <w:r>
              <w:t xml:space="preserve">1,800,000</w:t>
            </w:r>
          </w:p>
        </w:tc>
        <w:tc>
          <w:tcPr/>
          <w:p>
            <w:pPr>
              <w:pStyle w:val="Compact"/>
              <w:jc w:val="left"/>
            </w:pPr>
            <w:r>
              <w:t xml:space="preserve">1</w:t>
            </w:r>
          </w:p>
        </w:tc>
        <w:tc>
          <w:tcPr/>
          <w:p>
            <w:pPr>
              <w:pStyle w:val="Compact"/>
              <w:jc w:val="left"/>
            </w:pPr>
            <w:r>
              <w:t xml:space="preserve">1,800,000</w:t>
            </w:r>
          </w:p>
        </w:tc>
      </w:tr>
      <w:tr>
        <w:tc>
          <w:tcPr/>
          <w:p>
            <w:pPr>
              <w:pStyle w:val="Compact"/>
              <w:jc w:val="left"/>
            </w:pPr>
            <w:r>
              <w:t xml:space="preserve">Software Licenses (Bloomberg Terminal, SAP, Excel Pro)</w:t>
            </w:r>
          </w:p>
        </w:tc>
        <w:tc>
          <w:tcPr/>
          <w:p>
            <w:pPr>
              <w:pStyle w:val="Compact"/>
              <w:jc w:val="left"/>
            </w:pPr>
            <w:r>
              <w:t xml:space="preserve">Year</w:t>
            </w:r>
          </w:p>
        </w:tc>
        <w:tc>
          <w:tcPr/>
          <w:p>
            <w:pPr>
              <w:pStyle w:val="Compact"/>
              <w:jc w:val="left"/>
            </w:pPr>
            <w:r>
              <w:t xml:space="preserve">960,000</w:t>
            </w:r>
          </w:p>
        </w:tc>
        <w:tc>
          <w:tcPr/>
          <w:p>
            <w:pPr>
              <w:pStyle w:val="Compact"/>
              <w:jc w:val="left"/>
            </w:pPr>
            <w:r>
              <w:t xml:space="preserve">1</w:t>
            </w:r>
          </w:p>
        </w:tc>
        <w:tc>
          <w:tcPr/>
          <w:p>
            <w:pPr>
              <w:pStyle w:val="Compact"/>
              <w:jc w:val="left"/>
            </w:pPr>
            <w:r>
              <w:t xml:space="preserve">960,000</w:t>
            </w:r>
          </w:p>
        </w:tc>
      </w:tr>
      <w:tr>
        <w:tc>
          <w:tcPr/>
          <w:p>
            <w:pPr>
              <w:pStyle w:val="Compact"/>
              <w:jc w:val="left"/>
            </w:pPr>
            <w:r>
              <w:t xml:space="preserve">Office Space Allocation — Umeda, Osaka</w:t>
            </w:r>
          </w:p>
        </w:tc>
        <w:tc>
          <w:tcPr/>
          <w:p>
            <w:pPr>
              <w:pStyle w:val="Compact"/>
              <w:jc w:val="left"/>
            </w:pPr>
            <w:r>
              <w:t xml:space="preserve">Year</w:t>
            </w:r>
          </w:p>
        </w:tc>
        <w:tc>
          <w:tcPr/>
          <w:p>
            <w:pPr>
              <w:pStyle w:val="Compact"/>
              <w:jc w:val="left"/>
            </w:pPr>
            <w:r>
              <w:t xml:space="preserve">1,440,000</w:t>
            </w:r>
          </w:p>
        </w:tc>
        <w:tc>
          <w:tcPr/>
          <w:p>
            <w:pPr>
              <w:pStyle w:val="Compact"/>
              <w:jc w:val="left"/>
            </w:pPr>
            <w:r>
              <w:t xml:space="preserve">1</w:t>
            </w:r>
          </w:p>
        </w:tc>
        <w:tc>
          <w:tcPr/>
          <w:p>
            <w:pPr>
              <w:pStyle w:val="Compact"/>
              <w:jc w:val="left"/>
            </w:pPr>
            <w:r>
              <w:t xml:space="preserve">1,440,000</w:t>
            </w:r>
          </w:p>
        </w:tc>
      </w:tr>
      <w:tr>
        <w:tc>
          <w:tcPr/>
          <w:p>
            <w:pPr>
              <w:pStyle w:val="Compact"/>
              <w:jc w:val="left"/>
            </w:pPr>
            <w:r>
              <w:t xml:space="preserve">Visa Sponsorship &amp; Immigration Processing (if applicable)</w:t>
            </w:r>
          </w:p>
        </w:tc>
        <w:tc>
          <w:tcPr/>
          <w:p>
            <w:pPr>
              <w:pStyle w:val="Compact"/>
              <w:jc w:val="left"/>
            </w:pPr>
            <w:r>
              <w:t xml:space="preserve">One-time</w:t>
            </w:r>
          </w:p>
        </w:tc>
        <w:tc>
          <w:tcPr/>
          <w:p>
            <w:pPr>
              <w:pStyle w:val="Compact"/>
              <w:jc w:val="left"/>
            </w:pPr>
            <w:r>
              <w:t xml:space="preserve">320,000</w:t>
            </w:r>
          </w:p>
        </w:tc>
        <w:tc>
          <w:tcPr/>
          <w:p>
            <w:pPr>
              <w:pStyle w:val="Compact"/>
              <w:jc w:val="left"/>
            </w:pPr>
            <w:r>
              <w:t xml:space="preserve">1</w:t>
            </w:r>
          </w:p>
        </w:tc>
        <w:tc>
          <w:tcPr/>
          <w:p>
            <w:pPr>
              <w:pStyle w:val="Compact"/>
              <w:jc w:val="left"/>
            </w:pPr>
            <w:r>
              <w:t xml:space="preserve">320,000</w:t>
            </w:r>
          </w:p>
        </w:tc>
      </w:tr>
      <w:tr>
        <w:tc>
          <w:tcPr/>
          <w:p>
            <w:pPr>
              <w:pStyle w:val="Compact"/>
              <w:jc w:val="left"/>
            </w:pPr>
            <w:r>
              <w:t xml:space="preserve">Annual Health Insurance &amp; Pension Contributions (Employer Share)</w:t>
            </w:r>
          </w:p>
        </w:tc>
        <w:tc>
          <w:tcPr/>
          <w:p>
            <w:pPr>
              <w:pStyle w:val="Compact"/>
              <w:jc w:val="left"/>
            </w:pPr>
            <w:r>
              <w:t xml:space="preserve">Year</w:t>
            </w:r>
          </w:p>
        </w:tc>
        <w:tc>
          <w:tcPr/>
          <w:p>
            <w:pPr>
              <w:pStyle w:val="Compact"/>
              <w:jc w:val="left"/>
            </w:pPr>
            <w:r>
              <w:t xml:space="preserve">1,680,000</w:t>
            </w:r>
          </w:p>
        </w:tc>
        <w:tc>
          <w:tcPr/>
          <w:p>
            <w:pPr>
              <w:pStyle w:val="Compact"/>
              <w:jc w:val="left"/>
            </w:pPr>
            <w:r>
              <w:t xml:space="preserve">1</w:t>
            </w:r>
          </w:p>
        </w:tc>
        <w:tc>
          <w:tcPr/>
          <w:p>
            <w:pPr>
              <w:pStyle w:val="Compact"/>
              <w:jc w:val="left"/>
            </w:pPr>
            <w:r>
              <w:t xml:space="preserve">1,680,000</w:t>
            </w:r>
          </w:p>
        </w:tc>
      </w:tr>
      <w:tr>
        <w:tc>
          <w:tcPr>
            <w:gridSpan w:val="4"/>
          </w:tcPr>
          <w:p>
            <w:pPr>
              <w:pStyle w:val="Compact"/>
              <w:jc w:val="left"/>
            </w:pPr>
            <w:r>
              <w:t xml:space="preserve">TOTAL ESTIMATED ANNUAL COST (Year 1)</w:t>
            </w:r>
          </w:p>
        </w:tc>
        <w:tc>
          <w:tcPr/>
          <w:p>
            <w:pPr>
              <w:pStyle w:val="Compact"/>
              <w:jc w:val="left"/>
            </w:pPr>
            <w:r>
              <w:t xml:space="preserve">25,210,000</w:t>
            </w:r>
          </w:p>
        </w:tc>
      </w:tr>
      <w:tr>
        <w:tc>
          <w:tcPr>
            <w:gridSpan w:val="4"/>
          </w:tcPr>
          <w:p>
            <w:pPr>
              <w:pStyle w:val="Compact"/>
              <w:jc w:val="left"/>
            </w:pPr>
            <w:r>
              <w:t xml:space="preserve">TOTAL ESTIMATED ANNUAL COST (Year 2 Onward, excl. one-time fees)</w:t>
            </w:r>
          </w:p>
        </w:tc>
        <w:tc>
          <w:tcPr/>
          <w:p>
            <w:pPr>
              <w:pStyle w:val="Compact"/>
              <w:jc w:val="left"/>
            </w:pPr>
            <w:r>
              <w:t xml:space="preserve">21,680,000</w:t>
            </w:r>
          </w:p>
        </w:tc>
      </w:tr>
    </w:tbl>
    <w:bookmarkEnd w:id="24"/>
    <w:bookmarkStart w:id="25" w:name="terms-conditions"/>
    <w:p>
      <w:pPr>
        <w:pStyle w:val="Heading2"/>
      </w:pPr>
      <w:r>
        <w:t xml:space="preserve">5. Terms &amp; Conditions</w:t>
      </w:r>
    </w:p>
    <w:p>
      <w:pPr>
        <w:numPr>
          <w:ilvl w:val="0"/>
          <w:numId w:val="1002"/>
        </w:numPr>
        <w:pStyle w:val="Compact"/>
      </w:pPr>
      <w:r>
        <w:t xml:space="preserve">This</w:t>
      </w:r>
      <w:r>
        <w:t xml:space="preserve"> </w:t>
      </w:r>
      <w:r>
        <w:t xml:space="preserve">Quotation Estimate</w:t>
      </w:r>
      <w:r>
        <w:t xml:space="preserve"> </w:t>
      </w:r>
      <w:r>
        <w:t xml:space="preserve">is valid for thirty (30) days from the date of issue. Any acceptance beyond this period requires re-confirmation of all rates and availability.</w:t>
      </w:r>
    </w:p>
    <w:p>
      <w:pPr>
        <w:numPr>
          <w:ilvl w:val="0"/>
          <w:numId w:val="1002"/>
        </w:numPr>
        <w:pStyle w:val="Compact"/>
      </w:pPr>
      <w:r>
        <w:t xml:space="preserve">All compensation figures are subject to the prevailing minimum wage regulations and labor standards applicable in</w:t>
      </w:r>
      <w:r>
        <w:t xml:space="preserve"> </w:t>
      </w:r>
      <w:r>
        <w:t xml:space="preserve">Japan Osaka</w:t>
      </w:r>
      <w:r>
        <w:t xml:space="preserve"> </w:t>
      </w:r>
      <w:r>
        <w:t xml:space="preserve">and the broader Kansai region.</w:t>
      </w:r>
    </w:p>
    <w:p>
      <w:pPr>
        <w:numPr>
          <w:ilvl w:val="0"/>
          <w:numId w:val="1002"/>
        </w:numPr>
        <w:pStyle w:val="Compact"/>
      </w:pPr>
      <w:r>
        <w:t xml:space="preserve">The</w:t>
      </w:r>
      <w:r>
        <w:t xml:space="preserve"> </w:t>
      </w:r>
      <w:r>
        <w:t xml:space="preserve">Financial Analyst</w:t>
      </w:r>
      <w:r>
        <w:t xml:space="preserve"> </w:t>
      </w:r>
      <w:r>
        <w:t xml:space="preserve">shall be engaged under a standard Japanese employment contract (shakai hoken compliant) with a twelve-month initial term, renewable by mutual written agreement.</w:t>
      </w:r>
    </w:p>
    <w:p>
      <w:pPr>
        <w:numPr>
          <w:ilvl w:val="0"/>
          <w:numId w:val="1002"/>
        </w:numPr>
        <w:pStyle w:val="Compact"/>
      </w:pPr>
      <w:r>
        <w:t xml:space="preserve">Payment terms: 50% of the recruitment and placement fee is due upon contract signing; the remaining 50% is due upon the</w:t>
      </w:r>
      <w:r>
        <w:t xml:space="preserve"> </w:t>
      </w:r>
      <w:r>
        <w:t xml:space="preserve">Financial Analyst</w:t>
      </w:r>
      <w:r>
        <w:t xml:space="preserve">'s successful completion of the 90-day probationary period.</w:t>
      </w:r>
    </w:p>
    <w:p>
      <w:pPr>
        <w:numPr>
          <w:ilvl w:val="0"/>
          <w:numId w:val="1002"/>
        </w:numPr>
        <w:pStyle w:val="Compact"/>
      </w:pPr>
      <w:r>
        <w:t xml:space="preserve">Advisory retainer fees are payable quarterly in advance, with the first installment due within fourteen (14) days of engagement commencement.</w:t>
      </w:r>
    </w:p>
    <w:p>
      <w:pPr>
        <w:numPr>
          <w:ilvl w:val="0"/>
          <w:numId w:val="1002"/>
        </w:numPr>
        <w:pStyle w:val="Compact"/>
      </w:pPr>
      <w:r>
        <w:t xml:space="preserve">Either party may terminate the engagement with sixty (60) days' written notice. In the event of early termination by the client, a pro-rata portion of the advisory retainer shall be non-refundable.</w:t>
      </w:r>
    </w:p>
    <w:p>
      <w:pPr>
        <w:numPr>
          <w:ilvl w:val="0"/>
          <w:numId w:val="1002"/>
        </w:numPr>
        <w:pStyle w:val="Compact"/>
      </w:pPr>
      <w:r>
        <w:t xml:space="preserve">All work product, financial models, and analytical reports produced by the</w:t>
      </w:r>
      <w:r>
        <w:t xml:space="preserve"> </w:t>
      </w:r>
      <w:r>
        <w:t xml:space="preserve">Financial Analyst</w:t>
      </w:r>
      <w:r>
        <w:t xml:space="preserve"> </w:t>
      </w:r>
      <w:r>
        <w:t xml:space="preserve">shall remain the exclusive intellectual property of the client organization.</w:t>
      </w:r>
    </w:p>
    <w:p>
      <w:pPr>
        <w:numPr>
          <w:ilvl w:val="0"/>
          <w:numId w:val="1002"/>
        </w:numPr>
        <w:pStyle w:val="Compact"/>
      </w:pPr>
      <w:r>
        <w:t xml:space="preserve">Confidentiality obligations as defined under the Japanese Act on the Protection of Personal Information (APPI) and the client's internal data governance policies shall be strictly observed.</w:t>
      </w:r>
    </w:p>
    <w:p>
      <w:pPr>
        <w:numPr>
          <w:ilvl w:val="0"/>
          <w:numId w:val="1002"/>
        </w:numPr>
        <w:pStyle w:val="Compact"/>
      </w:pPr>
      <w:r>
        <w:t xml:space="preserve">Disputes arising from this</w:t>
      </w:r>
      <w:r>
        <w:t xml:space="preserve"> </w:t>
      </w:r>
      <w:r>
        <w:t xml:space="preserve">Quotation Estimate</w:t>
      </w:r>
      <w:r>
        <w:t xml:space="preserve"> </w:t>
      </w:r>
      <w:r>
        <w:t xml:space="preserve">or the subsequent engagement shall be resolved through mediation in Osaka, Japan, in accordance with the rules of the Osaka Arbitration Center.</w:t>
      </w:r>
    </w:p>
    <w:bookmarkEnd w:id="25"/>
    <w:bookmarkStart w:id="26" w:name="acceptance-authorization"/>
    <w:p>
      <w:pPr>
        <w:pStyle w:val="Heading2"/>
      </w:pPr>
      <w:r>
        <w:t xml:space="preserve">6. Acceptance &amp; Authorization</w:t>
      </w:r>
    </w:p>
    <w:p>
      <w:pPr>
        <w:pStyle w:val="FirstParagraph"/>
      </w:pPr>
      <w:r>
        <w:t xml:space="preserve">By signing below, the client acknowledges receipt of this</w:t>
      </w:r>
      <w:r>
        <w:t xml:space="preserve"> </w:t>
      </w:r>
      <w:r>
        <w:t xml:space="preserve">Quotation Estimate</w:t>
      </w:r>
      <w:r>
        <w:t xml:space="preserve"> </w:t>
      </w:r>
      <w:r>
        <w:t xml:space="preserve">and agrees to the terms, conditions, and cost structure outlined for the</w:t>
      </w:r>
      <w:r>
        <w:t xml:space="preserve"> </w:t>
      </w:r>
      <w:r>
        <w:t xml:space="preserve">Financial Analyst</w:t>
      </w:r>
      <w:r>
        <w:t xml:space="preserve"> </w:t>
      </w:r>
      <w:r>
        <w:t xml:space="preserve">engagement in</w:t>
      </w:r>
      <w:r>
        <w:t xml:space="preserve"> </w:t>
      </w:r>
      <w:r>
        <w:t xml:space="preserve">Japan Osaka</w:t>
      </w:r>
      <w:r>
        <w:t xml:space="preserve">. This document, once countersigned by both parties, constitutes a binding service agreement.</w:t>
      </w:r>
    </w:p>
    <w:p>
      <w:pPr>
        <w:pStyle w:val="BodyText"/>
      </w:pPr>
      <w:r>
        <w:rPr>
          <w:bCs/>
          <w:b/>
        </w:rPr>
        <w:t xml:space="preserve">For: Osaka Business Consulting Group, Ltd.</w:t>
      </w:r>
    </w:p>
    <w:p>
      <w:pPr>
        <w:pStyle w:val="BodyText"/>
      </w:pPr>
      <w:r>
        <w:t xml:space="preserve">Name / Title / Signature / Date</w:t>
      </w:r>
    </w:p>
    <w:p>
      <w:pPr>
        <w:pStyle w:val="BodyText"/>
      </w:pPr>
      <w:r>
        <w:rPr>
          <w:bCs/>
          <w:b/>
        </w:rPr>
        <w:t xml:space="preserve">For: Client Organization</w:t>
      </w:r>
    </w:p>
    <w:p>
      <w:pPr>
        <w:pStyle w:val="BodyText"/>
      </w:pPr>
      <w:r>
        <w:t xml:space="preserve">Name / Title / Signature / Date</w:t>
      </w:r>
    </w:p>
    <w:p>
      <w:pPr>
        <w:pStyle w:val="BodyText"/>
      </w:pPr>
      <w:r>
        <w:rPr>
          <w:bCs/>
          <w:b/>
        </w:rPr>
        <w:t xml:space="preserve">Important Note:</w:t>
      </w:r>
      <w:r>
        <w:t xml:space="preserve"> </w:t>
      </w:r>
      <w:r>
        <w:t xml:space="preserve">This</w:t>
      </w:r>
      <w:r>
        <w:t xml:space="preserve"> </w:t>
      </w:r>
      <w:r>
        <w:t xml:space="preserve">Quotation Estimate</w:t>
      </w:r>
      <w:r>
        <w:t xml:space="preserve"> </w:t>
      </w:r>
      <w:r>
        <w:t xml:space="preserve">is prepared exclusively for the intended recipient and may not be reproduced or distributed without prior written consent from Osaka Business Consulting Group, Ltd. All figures are estimates based on current market conditions in</w:t>
      </w:r>
      <w:r>
        <w:t xml:space="preserve"> </w:t>
      </w:r>
      <w:r>
        <w:t xml:space="preserve">Japan Osaka</w:t>
      </w:r>
      <w:r>
        <w:t xml:space="preserve"> </w:t>
      </w:r>
      <w:r>
        <w:t xml:space="preserve">as of June 2025 and are subject to adjustment for inflation, regulatory changes, or material shifts in the local labor market. The</w:t>
      </w:r>
      <w:r>
        <w:t xml:space="preserve"> </w:t>
      </w:r>
      <w:r>
        <w:t xml:space="preserve">Financial Analyst</w:t>
      </w:r>
      <w:r>
        <w:t xml:space="preserve"> </w:t>
      </w:r>
      <w:r>
        <w:t xml:space="preserve">role described herein is a professional services engagement and does not constitute investment advice or a guarantee of financial performance.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Financial Analyst - Japan Osaka</dc:title>
  <dc:creator/>
  <dc:language>en</dc:language>
  <cp:keywords/>
  <dcterms:created xsi:type="dcterms:W3CDTF">2026-10-10T03:00:04Z</dcterms:created>
  <dcterms:modified xsi:type="dcterms:W3CDTF">2026-10-10T03:00:04Z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content-width=device-width, initial-scale=1.0</vt:lpwstr>
  </property>
</Properties>
</file>