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Financial Analyst Services — Japan Tokyo</w:t>
      </w:r>
    </w:p>
    <w:p>
      <w:pPr>
        <w:pStyle w:val="BodyText"/>
      </w:pPr>
      <w:r>
        <w:t xml:space="preserve">Document Reference: QE-JT-2025-0472 | Valid Until: 30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Meridian Advisory Group K.K., 35-2-1 Nishi-Shinjuku, Shinjuku-ku, Tokyo 163-0045, Japan</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Category</w:t>
            </w:r>
          </w:p>
        </w:tc>
        <w:tc>
          <w:tcPr/>
          <w:p>
            <w:pPr>
              <w:pStyle w:val="Compact"/>
              <w:jc w:val="left"/>
            </w:pPr>
            <w:r>
              <w:t xml:space="preserve">Financial Analyst Engagement — Full-Scope Advisory</w:t>
            </w:r>
          </w:p>
        </w:tc>
      </w:tr>
      <w:tr>
        <w:tc>
          <w:tcPr/>
          <w:p>
            <w:pPr>
              <w:pStyle w:val="Compact"/>
              <w:jc w:val="left"/>
            </w:pPr>
            <w:r>
              <w:t xml:space="preserve">Location of Service</w:t>
            </w:r>
          </w:p>
        </w:tc>
        <w:tc>
          <w:tcPr/>
          <w:p>
            <w:pPr>
              <w:pStyle w:val="Compact"/>
              <w:jc w:val="left"/>
            </w:pPr>
            <w:r>
              <w:t xml:space="preserve">Japan Tokyo (Primary Office: Shinjuku District; Secondary: Minato-ku)</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Currency</w:t>
            </w:r>
          </w:p>
        </w:tc>
        <w:tc>
          <w:tcPr/>
          <w:p>
            <w:pPr>
              <w:pStyle w:val="Compact"/>
              <w:jc w:val="left"/>
            </w:pPr>
            <w:r>
              <w:t xml:space="preserve">Japanese Yen (JPY) — All figures in this Quotation Estimate are denominated in JPY</w:t>
            </w:r>
          </w:p>
        </w:tc>
      </w:tr>
    </w:tbl>
    <w:bookmarkStart w:id="21" w:name="executive-summary"/>
    <w:p>
      <w:pPr>
        <w:pStyle w:val="Heading2"/>
      </w:pPr>
      <w:r>
        <w:t xml:space="preserve">1. Executive Summary</w:t>
      </w:r>
    </w:p>
    <w:p>
      <w:pPr>
        <w:pStyle w:val="FirstParagraph"/>
      </w:pPr>
      <w:r>
        <w:t xml:space="preserve">This Quotation Estimate is issued by Meridian Advisory Group K.K. to provide a comprehensive, itemized cost breakdown for the engagement of a senior Financial Analyst to deliver specialized financial advisory services within the Japan Tokyo metropolitan area. The scope of this Quotation Estimate covers a twelve-month engagement period during which the Financial Analyst will be embedded within the client's operations to perform financial modeling, variance analysis, budget forecasting, and strategic reporting tailored to the unique regulatory and market conditions of Japan Tokyo.</w:t>
      </w:r>
    </w:p>
    <w:p>
      <w:pPr>
        <w:pStyle w:val="BodyText"/>
      </w:pPr>
      <w:r>
        <w:t xml:space="preserve">The Financial Analyst proposed under this Quotation Estimate holds a minimum of eight years of experience in corporate finance, possesses a CFA charter designation, and has demonstrated proficiency in Japanese GAAP, IFRS, and the specific disclosure requirements mandated by the Financial Services Agency (FSA) of Japan. All deliverables produced by the Financial Analyst will be aligned with the reporting standards expected by stakeholders operating in Japan Tokyo.</w:t>
      </w:r>
    </w:p>
    <w:bookmarkEnd w:id="21"/>
    <w:bookmarkStart w:id="22" w:name="scope-of-services"/>
    <w:p>
      <w:pPr>
        <w:pStyle w:val="Heading2"/>
      </w:pPr>
      <w:r>
        <w:t xml:space="preserve">2. Scope of Services</w:t>
      </w:r>
    </w:p>
    <w:p>
      <w:pPr>
        <w:pStyle w:val="FirstParagraph"/>
      </w:pPr>
      <w:r>
        <w:t xml:space="preserve">The Financial Analyst engaged under this Quotation Estimate will perform the following duties on a full-time basis (40 hours per week, Monday through Friday, in accordance with Japanese labor standards):</w:t>
      </w:r>
    </w:p>
    <w:p>
      <w:pPr>
        <w:numPr>
          <w:ilvl w:val="0"/>
          <w:numId w:val="1001"/>
        </w:numPr>
        <w:pStyle w:val="Compact"/>
      </w:pPr>
      <w:r>
        <w:rPr>
          <w:bCs/>
          <w:b/>
        </w:rPr>
        <w:t xml:space="preserve">Financial Modeling &amp; Forecasting:</w:t>
      </w:r>
      <w:r>
        <w:t xml:space="preserve"> </w:t>
      </w:r>
      <w:r>
        <w:t xml:space="preserve">Construction and maintenance of multi-year financial models incorporating Japan Tokyo-specific macroeconomic variables, including BOJ monetary policy shifts, yen-denominated interest rate movements, and Tokyo Stock Exchange (TSE) market dynamics.</w:t>
      </w:r>
    </w:p>
    <w:p>
      <w:pPr>
        <w:numPr>
          <w:ilvl w:val="0"/>
          <w:numId w:val="1001"/>
        </w:numPr>
        <w:pStyle w:val="Compact"/>
      </w:pPr>
      <w:r>
        <w:rPr>
          <w:bCs/>
          <w:b/>
        </w:rPr>
        <w:t xml:space="preserve">Variance &amp; Trend Analysis:</w:t>
      </w:r>
      <w:r>
        <w:t xml:space="preserve"> </w:t>
      </w:r>
      <w:r>
        <w:t xml:space="preserve">Monthly preparation of detailed variance reports comparing actual performance against budgeted figures, with narrative explanations contextualized within the Japan Tokyo business environment.</w:t>
      </w:r>
    </w:p>
    <w:p>
      <w:pPr>
        <w:numPr>
          <w:ilvl w:val="0"/>
          <w:numId w:val="1001"/>
        </w:numPr>
        <w:pStyle w:val="Compact"/>
      </w:pPr>
      <w:r>
        <w:rPr>
          <w:bCs/>
          <w:b/>
        </w:rPr>
        <w:t xml:space="preserve">Regulatory Reporting Support:</w:t>
      </w:r>
      <w:r>
        <w:t xml:space="preserve"> </w:t>
      </w:r>
      <w:r>
        <w:t xml:space="preserve">Assistance in preparing quarterly and annual financial disclosures compliant with Japanese Corporate Law and TSE listing requirements.</w:t>
      </w:r>
    </w:p>
    <w:p>
      <w:pPr>
        <w:numPr>
          <w:ilvl w:val="0"/>
          <w:numId w:val="1001"/>
        </w:numPr>
        <w:pStyle w:val="Compact"/>
      </w:pPr>
      <w:r>
        <w:rPr>
          <w:bCs/>
          <w:b/>
        </w:rPr>
        <w:t xml:space="preserve">Strategic Advisory:</w:t>
      </w:r>
      <w:r>
        <w:t xml:space="preserve"> </w:t>
      </w:r>
      <w:r>
        <w:t xml:space="preserve">Quarterly strategic briefings for the client's executive leadership, providing data-driven recommendations on capital allocation, M&amp;A opportunities, and risk mitigation specific to the Japan Tokyo market.</w:t>
      </w:r>
    </w:p>
    <w:p>
      <w:pPr>
        <w:numPr>
          <w:ilvl w:val="0"/>
          <w:numId w:val="1001"/>
        </w:numPr>
        <w:pStyle w:val="Compact"/>
      </w:pPr>
      <w:r>
        <w:rPr>
          <w:bCs/>
          <w:b/>
        </w:rPr>
        <w:t xml:space="preserve">Stakeholder Communication:</w:t>
      </w:r>
      <w:r>
        <w:t xml:space="preserve"> </w:t>
      </w:r>
      <w:r>
        <w:t xml:space="preserve">Preparation of board-level presentations and investor materials in both Japanese and English, reflecting the bilingual nature of financial communication in Japan Tokyo.</w:t>
      </w:r>
    </w:p>
    <w:bookmarkEnd w:id="22"/>
    <w:bookmarkStart w:id="23" w:name="quotation-estimate-itemized-pricing"/>
    <w:p>
      <w:pPr>
        <w:pStyle w:val="Heading2"/>
      </w:pPr>
      <w:r>
        <w:t xml:space="preserve">3. Quotation Estimate — Itemized Pricing</w:t>
      </w:r>
    </w:p>
    <w:p>
      <w:pPr>
        <w:pStyle w:val="FirstParagraph"/>
      </w:pPr>
      <w:r>
        <w:t xml:space="preserve">The following table constitutes the core of this Quotation Estimate. All rates are exclusive of consumption tax (10% JCT applicable in Japan Tokyo). The Financial Analyst's compensation and associated service costs are broken down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Monthly (JPY)</w:t>
            </w:r>
          </w:p>
        </w:tc>
        <w:tc>
          <w:tcPr/>
          <w:p>
            <w:pPr>
              <w:pStyle w:val="Compact"/>
              <w:jc w:val="left"/>
            </w:pPr>
            <w:r>
              <w:t xml:space="preserve">Annual (JPY)</w:t>
            </w:r>
          </w:p>
        </w:tc>
      </w:tr>
      <w:tr>
        <w:tc>
          <w:tcPr/>
          <w:p>
            <w:pPr>
              <w:pStyle w:val="Compact"/>
              <w:jc w:val="left"/>
            </w:pPr>
            <w:r>
              <w:t xml:space="preserve">1</w:t>
            </w:r>
          </w:p>
        </w:tc>
        <w:tc>
          <w:tcPr/>
          <w:p>
            <w:pPr>
              <w:pStyle w:val="Compact"/>
              <w:jc w:val="left"/>
            </w:pPr>
            <w:r>
              <w:t xml:space="preserve">Financial Analyst Base Compensation (Senior Level, CFA Charterholder)</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Japan Tokyo Office Allocation &amp; Workspace (Shinjuku District)</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Software Licenses (Bloomberg Terminal, SAP Analytics, Python/SQL Stack)</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Regulatory Compliance &amp; FSA Filing Support</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Travel &amp; Local Transportation within Japan Tokyo (Minato, Chiyoda, Shinjuku)</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Professional Indemnity Insurance (Japan Tokyo jurisdiction)</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Project Management &amp; Quality Assurance Oversight</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Contingency &amp; Market Adjustment Buffer (5%)</w:t>
            </w:r>
          </w:p>
        </w:tc>
        <w:tc>
          <w:tcPr/>
          <w:p>
            <w:pPr>
              <w:pStyle w:val="Compact"/>
              <w:jc w:val="left"/>
            </w:pPr>
            <w:r>
              <w:t xml:space="preserve">95,000</w:t>
            </w:r>
          </w:p>
        </w:tc>
        <w:tc>
          <w:tcPr/>
          <w:p>
            <w:pPr>
              <w:pStyle w:val="Compact"/>
              <w:jc w:val="left"/>
            </w:pPr>
            <w:r>
              <w:t xml:space="preserve">1,140,000</w:t>
            </w:r>
          </w:p>
        </w:tc>
      </w:tr>
      <w:tr>
        <w:tc>
          <w:tcPr>
            <w:gridSpan w:val="2"/>
          </w:tcPr>
          <w:p>
            <w:pPr>
              <w:pStyle w:val="Compact"/>
              <w:jc w:val="left"/>
            </w:pPr>
            <w:r>
              <w:t xml:space="preserve">Subtotal (Excluding JCT)</w:t>
            </w:r>
          </w:p>
        </w:tc>
        <w:tc>
          <w:tcPr/>
          <w:p>
            <w:pPr>
              <w:pStyle w:val="Compact"/>
              <w:jc w:val="left"/>
            </w:pPr>
            <w:r>
              <w:t xml:space="preserve">2,045,000</w:t>
            </w:r>
          </w:p>
        </w:tc>
        <w:tc>
          <w:tcPr/>
          <w:p>
            <w:pPr>
              <w:pStyle w:val="Compact"/>
              <w:jc w:val="left"/>
            </w:pPr>
            <w:r>
              <w:t xml:space="preserve">24,540,000</w:t>
            </w:r>
          </w:p>
        </w:tc>
      </w:tr>
      <w:tr>
        <w:tc>
          <w:tcPr>
            <w:gridSpan w:val="2"/>
          </w:tcPr>
          <w:p>
            <w:pPr>
              <w:pStyle w:val="Compact"/>
              <w:jc w:val="left"/>
            </w:pPr>
            <w:r>
              <w:t xml:space="preserve">Consumption Tax (10% JCT — Japan Tokyo)</w:t>
            </w:r>
          </w:p>
        </w:tc>
        <w:tc>
          <w:tcPr/>
          <w:p>
            <w:pPr>
              <w:pStyle w:val="Compact"/>
              <w:jc w:val="left"/>
            </w:pPr>
            <w:r>
              <w:t xml:space="preserve">204,500</w:t>
            </w:r>
          </w:p>
        </w:tc>
        <w:tc>
          <w:tcPr/>
          <w:p>
            <w:pPr>
              <w:pStyle w:val="Compact"/>
              <w:jc w:val="left"/>
            </w:pPr>
            <w:r>
              <w:t xml:space="preserve">2,454,000</w:t>
            </w:r>
          </w:p>
        </w:tc>
      </w:tr>
      <w:tr>
        <w:tc>
          <w:tcPr>
            <w:gridSpan w:val="2"/>
          </w:tcPr>
          <w:p>
            <w:pPr>
              <w:pStyle w:val="Compact"/>
              <w:jc w:val="left"/>
            </w:pPr>
            <w:r>
              <w:t xml:space="preserve">TOTAL ANNUAL QUOTATION ESTIMATE</w:t>
            </w:r>
          </w:p>
        </w:tc>
        <w:tc>
          <w:tcPr/>
          <w:p>
            <w:pPr>
              <w:pStyle w:val="Compact"/>
              <w:jc w:val="left"/>
            </w:pPr>
            <w:r>
              <w:t xml:space="preserve">2,249,500</w:t>
            </w:r>
          </w:p>
        </w:tc>
        <w:tc>
          <w:tcPr/>
          <w:p>
            <w:pPr>
              <w:pStyle w:val="Compact"/>
              <w:jc w:val="left"/>
            </w:pPr>
            <w:r>
              <w:t xml:space="preserve">26,994,000</w:t>
            </w:r>
          </w:p>
        </w:tc>
      </w:tr>
    </w:tbl>
    <w:bookmarkEnd w:id="23"/>
    <w:bookmarkStart w:id="24" w:name="terms-conditions"/>
    <w:p>
      <w:pPr>
        <w:pStyle w:val="Heading2"/>
      </w:pPr>
      <w:r>
        <w:t xml:space="preserve">4. Terms &amp; Conditions</w:t>
      </w:r>
    </w:p>
    <w:p>
      <w:pPr>
        <w:numPr>
          <w:ilvl w:val="0"/>
          <w:numId w:val="1002"/>
        </w:numPr>
        <w:pStyle w:val="Compact"/>
      </w:pPr>
      <w:r>
        <w:t xml:space="preserve">This Quotation Estimate is valid for a period of sixty (60) calendar days from the date of issue. Beyond this period, pricing for the Financial Analyst engagement may be subject to revision based on market conditions in Japan Tokyo.</w:t>
      </w:r>
    </w:p>
    <w:p>
      <w:pPr>
        <w:numPr>
          <w:ilvl w:val="0"/>
          <w:numId w:val="1002"/>
        </w:numPr>
        <w:pStyle w:val="Compact"/>
      </w:pPr>
      <w:r>
        <w:t xml:space="preserve">Payment terms: 50% of the monthly fee is due within fifteen (15) business days of invoice issuance; the remaining 50% is due at month-end. Invoices will be issued in Japanese Yen via bank transfer to the account specified in the master services agreement.</w:t>
      </w:r>
    </w:p>
    <w:p>
      <w:pPr>
        <w:numPr>
          <w:ilvl w:val="0"/>
          <w:numId w:val="1002"/>
        </w:numPr>
        <w:pStyle w:val="Compact"/>
      </w:pPr>
      <w:r>
        <w:t xml:space="preserve">The Financial Analyst shall comply with all applicable Japanese labor laws, including the Labor Standards Act, and shall observe the standard Japanese working week. Overtime, if required, will be compensated at 1.25x the base hourly rate as stipulated under Japanese law.</w:t>
      </w:r>
    </w:p>
    <w:p>
      <w:pPr>
        <w:numPr>
          <w:ilvl w:val="0"/>
          <w:numId w:val="1002"/>
        </w:numPr>
        <w:pStyle w:val="Compact"/>
      </w:pPr>
      <w:r>
        <w:t xml:space="preserve">Confidentiality: All financial data, models, and strategic information handled by the Financial Analyst in Japan Tokyo shall be treated as strictly confidential and subject to a non-disclosure agreement (NDA) executed prior to commencement of services.</w:t>
      </w:r>
    </w:p>
    <w:p>
      <w:pPr>
        <w:numPr>
          <w:ilvl w:val="0"/>
          <w:numId w:val="1002"/>
        </w:numPr>
        <w:pStyle w:val="Compact"/>
      </w:pPr>
      <w:r>
        <w:t xml:space="preserve">Termination: Either party may terminate the engagement with thirty (30) days' written notice. In the event of early termination, the client shall be liable for all fees accrued up to the termination date as outlined in this Quotation Estimate.</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affecting Japan Tokyo (typhoons, earthquakes), government-mandated shutdowns, or pandemics.</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terms, scope, and pricing outlined herein for the engagement of the Financial Analyst in Japan Tokyo. This document, once countersigned by both parties, shall constitute a binding commercial agreement for the duration specified.</w:t>
      </w:r>
    </w:p>
    <w:p>
      <w:pPr>
        <w:pStyle w:val="BodyText"/>
      </w:pPr>
      <w:r>
        <w:rPr>
          <w:bCs/>
          <w:b/>
        </w:rPr>
        <w:t xml:space="preserve">For Meridian Advisory Group K.K.:</w:t>
      </w:r>
    </w:p>
    <w:p>
      <w:pPr>
        <w:pStyle w:val="BodyText"/>
      </w:pPr>
      <w:r>
        <w:t xml:space="preserve">Name: Kenji Tanaka, Managing Director</w:t>
      </w:r>
      <w:r>
        <w:br/>
      </w:r>
      <w:r>
        <w:t xml:space="preserve">Signature: _________________________</w:t>
      </w:r>
      <w:r>
        <w:br/>
      </w:r>
      <w:r>
        <w:t xml:space="preserve">Date: _________________________</w:t>
      </w:r>
    </w:p>
    <w:p>
      <w:pPr>
        <w:pStyle w:val="BodyText"/>
      </w:pPr>
      <w:r>
        <w:rPr>
          <w:bCs/>
          <w:b/>
        </w:rPr>
        <w:t xml:space="preserve">For the Client Organization:</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named client and may not be reproduced, distributed, or used for any other purpose without prior written consent from Meridian Advisory Group K.K. All references to Japan Tokyo pertain to the 23 special wards and the immediate metropolitan service area. The Financial Analyst's performance metrics and deliverable timelines are detailed in the attached Statement of Work (SOW-2025-0472-A), which forms an integral part of this Quotation Estimate.</w:t>
      </w:r>
    </w:p>
    <w:p>
      <w:pPr>
        <w:pStyle w:val="BodyText"/>
      </w:pPr>
      <w:r>
        <w:t xml:space="preserve">Meridian Advisory Group K.K. | Corporate Number: 4010001234567 | Registered in Tokyo, Japan</w:t>
      </w:r>
    </w:p>
    <w:p>
      <w:pPr>
        <w:pStyle w:val="BodyText"/>
      </w:pPr>
      <w:r>
        <w:t xml:space="preserve">Contact: finance@meridian-advisory.jp | Tel: +81-3-5555-0198 | 35-2-1 Nishi-Shinjuku, Shinjuku-ku, Tokyo 163-0045</w:t>
      </w:r>
    </w:p>
    <w:p>
      <w:pPr>
        <w:pStyle w:val="BodyText"/>
      </w:pPr>
      <w:r>
        <w:t xml:space="preserve">This Quotation Estimate document was generated on 15 January 2025. For inquiries regarding the Financial Analyst engagement scope or Japan Tokyo service logistics, please contact the undersigned within five business days of receipt.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Japan Tokyo</dc:title>
  <dc:creator/>
  <dc:language>en</dc:language>
  <cp:keywords/>
  <dcterms:created xsi:type="dcterms:W3CDTF">2026-10-10T03:01:33Z</dcterms:created>
  <dcterms:modified xsi:type="dcterms:W3CDTF">2026-10-10T03:01:33Z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