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Kazakhstan</w:t>
      </w:r>
      <w:r>
        <w:t xml:space="preserve"> </w:t>
      </w:r>
      <w:r>
        <w:t xml:space="preserve">Almaty</w:t>
      </w:r>
    </w:p>
    <w:bookmarkStart w:id="20" w:name="almaty-professional-services-group-llp"/>
    <w:p>
      <w:pPr>
        <w:pStyle w:val="Heading1"/>
      </w:pPr>
      <w:r>
        <w:t xml:space="preserve">Almaty Professional Services Group LLP</w:t>
      </w:r>
    </w:p>
    <w:p>
      <w:pPr>
        <w:pStyle w:val="FirstParagraph"/>
      </w:pPr>
      <w:r>
        <w:t xml:space="preserve">125 Abai Avenue, Office 412, Almaty, 050040, Republic of Kazakhstan</w:t>
      </w:r>
    </w:p>
    <w:p>
      <w:pPr>
        <w:pStyle w:val="BodyText"/>
      </w:pPr>
      <w:r>
        <w:t xml:space="preserve">Tax ID (BIN): 990740012345 | Phone: +7 (727) 312-4567 | Email: quotes@apsgroup.kz</w:t>
      </w:r>
    </w:p>
    <w:bookmarkEnd w:id="20"/>
    <w:p>
      <w:pPr>
        <w:pStyle w:val="BodyText"/>
      </w:pPr>
      <w:r>
        <w:t xml:space="preserve">Quotation Estimate</w:t>
      </w:r>
    </w:p>
    <w:p>
      <w:pPr>
        <w:pStyle w:val="BodyText"/>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D. Nurlanov, Senior Accountant</w:t>
      </w:r>
    </w:p>
    <w:p>
      <w:pPr>
        <w:pStyle w:val="BodyText"/>
      </w:pPr>
      <w:r>
        <w:rPr>
          <w:bCs/>
          <w:b/>
        </w:rPr>
        <w:t xml:space="preserve">Prepared For:</w:t>
      </w:r>
      <w:r>
        <w:t xml:space="preserve"> </w:t>
      </w:r>
      <w:r>
        <w:t xml:space="preserve">Tenge Capital Partners JSC</w:t>
      </w:r>
    </w:p>
    <w:p>
      <w:pPr>
        <w:pStyle w:val="BodyText"/>
      </w:pPr>
      <w:r>
        <w:rPr>
          <w:bCs/>
          <w:b/>
        </w:rPr>
        <w:t xml:space="preserve">Address:</w:t>
      </w:r>
      <w:r>
        <w:t xml:space="preserve"> </w:t>
      </w:r>
      <w:r>
        <w:t xml:space="preserve">40 Dostyk Avenue, Almaty, 050000, Kazakhstan</w:t>
      </w:r>
    </w:p>
    <w:p>
      <w:pPr>
        <w:pStyle w:val="BodyText"/>
      </w:pPr>
      <w:r>
        <w:rPr>
          <w:bCs/>
          <w:b/>
        </w:rPr>
        <w:t xml:space="preserve">Attention:</w:t>
      </w:r>
      <w:r>
        <w:t xml:space="preserve"> </w:t>
      </w:r>
      <w:r>
        <w:t xml:space="preserve">Ms. A. Serikova, Head of Finance Department</w:t>
      </w:r>
    </w:p>
    <w:p>
      <w:pPr>
        <w:pStyle w:val="BodyText"/>
      </w:pPr>
      <w:r>
        <w:rPr>
          <w:bCs/>
          <w:b/>
        </w:rPr>
        <w:t xml:space="preserve">Contact:</w:t>
      </w:r>
      <w:r>
        <w:t xml:space="preserve"> </w:t>
      </w:r>
      <w:r>
        <w:t xml:space="preserve">a.serikova@tengecapital.kz</w:t>
      </w:r>
    </w:p>
    <w:bookmarkStart w:id="21" w:name="subject-of-this-quotation-estimate"/>
    <w:p>
      <w:pPr>
        <w:pStyle w:val="Heading2"/>
      </w:pPr>
      <w:r>
        <w:t xml:space="preserve">1. Subject of This Quotation Estimate</w:t>
      </w:r>
    </w:p>
    <w:p>
      <w:pPr>
        <w:pStyle w:val="FirstParagraph"/>
      </w:pPr>
      <w:r>
        <w:t xml:space="preserve">This Quotation Estimate is issued by Almaty Professional Services Group LLP in response to the formal request received from Tenge Capital Partners JSC for the recruitment, onboarding, and first-year engagement of a qualified</w:t>
      </w:r>
      <w:r>
        <w:t xml:space="preserve"> </w:t>
      </w:r>
      <w:r>
        <w:rPr>
          <w:bCs/>
          <w:b/>
        </w:rPr>
        <w:t xml:space="preserve">Financial Analyst</w:t>
      </w:r>
      <w:r>
        <w:t xml:space="preserve"> </w:t>
      </w:r>
      <w:r>
        <w:t xml:space="preserve">to be based in</w:t>
      </w:r>
      <w:r>
        <w:t xml:space="preserve"> </w:t>
      </w:r>
      <w:r>
        <w:rPr>
          <w:bCs/>
          <w:b/>
        </w:rPr>
        <w:t xml:space="preserve">Kazakhstan Almaty</w:t>
      </w:r>
      <w:r>
        <w:t xml:space="preserve">. The scope of this Quotation Estimate covers all associated professional services, compensation packages, statutory contributions, and ancillary costs required to secure a fully operational Financial Analyst position within the client's Almaty headquarters.</w:t>
      </w:r>
    </w:p>
    <w:bookmarkEnd w:id="21"/>
    <w:bookmarkStart w:id="22" w:name="scope-of-services"/>
    <w:p>
      <w:pPr>
        <w:pStyle w:val="Heading2"/>
      </w:pPr>
      <w:r>
        <w:t xml:space="preserve">2. Scope of Services</w:t>
      </w:r>
    </w:p>
    <w:p>
      <w:pPr>
        <w:pStyle w:val="FirstParagraph"/>
      </w:pPr>
      <w:r>
        <w:t xml:space="preserve">The following services are included in this Quotation Estimate for the Financial Analyst role in Kazakhstan Almaty:</w:t>
      </w:r>
    </w:p>
    <w:p>
      <w:pPr>
        <w:numPr>
          <w:ilvl w:val="0"/>
          <w:numId w:val="1001"/>
        </w:numPr>
        <w:pStyle w:val="Compact"/>
      </w:pPr>
      <w:r>
        <w:t xml:space="preserve">End-to-end recruitment and selection of a certified Financial Analyst with a minimum of five (5) years of experience in corporate finance, portfolio analysis, and financial modeling.</w:t>
      </w:r>
    </w:p>
    <w:p>
      <w:pPr>
        <w:numPr>
          <w:ilvl w:val="0"/>
          <w:numId w:val="1001"/>
        </w:numPr>
        <w:pStyle w:val="Compact"/>
      </w:pPr>
      <w:r>
        <w:t xml:space="preserve">Conducting structured interviews, technical assessments, and reference checks specific to the Kazakhstan Almaty financial services market.</w:t>
      </w:r>
    </w:p>
    <w:p>
      <w:pPr>
        <w:numPr>
          <w:ilvl w:val="0"/>
          <w:numId w:val="1001"/>
        </w:numPr>
        <w:pStyle w:val="Compact"/>
      </w:pPr>
      <w:r>
        <w:t xml:space="preserve">Negotiation and finalization of an employment contract compliant with the Labor Code of the Republic of Kazakhstan.</w:t>
      </w:r>
    </w:p>
    <w:p>
      <w:pPr>
        <w:numPr>
          <w:ilvl w:val="0"/>
          <w:numId w:val="1001"/>
        </w:numPr>
        <w:pStyle w:val="Compact"/>
      </w:pPr>
      <w:r>
        <w:t xml:space="preserve">Onboarding, registration with the State Revenue Committee, and enrollment in the mandatory social security and pension fund (GosFond) as required for all employees in Kazakhstan Almaty.</w:t>
      </w:r>
    </w:p>
    <w:p>
      <w:pPr>
        <w:numPr>
          <w:ilvl w:val="0"/>
          <w:numId w:val="1001"/>
        </w:numPr>
        <w:pStyle w:val="Compact"/>
      </w:pPr>
      <w:r>
        <w:t xml:space="preserve">Provision of a dedicated workstation, software licenses (Bloomberg Terminal, SAP Financial Module, Advanced Excel, Power BI), and access to the client's internal financial systems.</w:t>
      </w:r>
    </w:p>
    <w:p>
      <w:pPr>
        <w:numPr>
          <w:ilvl w:val="0"/>
          <w:numId w:val="1001"/>
        </w:numPr>
        <w:pStyle w:val="Compact"/>
      </w:pPr>
      <w:r>
        <w:t xml:space="preserve">First-year performance monitoring, quarterly review sessions, and annual competency assessment for the Financial Analyst.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(KZT)</w:t>
            </w:r>
          </w:p>
        </w:tc>
        <w:tc>
          <w:tcPr/>
          <w:p>
            <w:pPr>
              <w:pStyle w:val="Compact"/>
              <w:jc w:val="left"/>
            </w:pPr>
            <w:r>
              <w:t xml:space="preserve">Total (KZT)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Recruitment and selection services for the Financial Analyst position in Kazakhstan Almaty (job posting, screening, interviews, background checks)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One-time fee</w:t>
            </w:r>
          </w:p>
        </w:tc>
      </w:tr>
      <w:tr>
        <w:tc>
          <w:tcPr/>
          <w:p>
            <w:pPr>
              <w:pStyle w:val="Compact"/>
              <w:jc w:val="left"/>
            </w:pPr>
            <w:r>
              <w:t xml:space="preserve">2</w:t>
            </w:r>
          </w:p>
        </w:tc>
        <w:tc>
          <w:tcPr/>
          <w:p>
            <w:pPr>
              <w:pStyle w:val="Compact"/>
              <w:jc w:val="left"/>
            </w:pPr>
            <w:r>
              <w:t xml:space="preserve">Monthly base salary for the Financial Analyst (12 months)</w:t>
            </w:r>
          </w:p>
        </w:tc>
        <w:tc>
          <w:tcPr/>
          <w:p>
            <w:pPr>
              <w:pStyle w:val="Compact"/>
              <w:jc w:val="left"/>
            </w:pPr>
            <w:r>
              <w:t xml:space="preserve">12</w:t>
            </w:r>
          </w:p>
        </w:tc>
        <w:tc>
          <w:tcPr/>
          <w:p>
            <w:pPr>
              <w:pStyle w:val="Compact"/>
              <w:jc w:val="left"/>
            </w:pPr>
            <w:r>
              <w:t xml:space="preserve">4,200,000</w:t>
            </w:r>
          </w:p>
        </w:tc>
        <w:tc>
          <w:tcPr/>
          <w:p>
            <w:pPr>
              <w:pStyle w:val="Compact"/>
              <w:jc w:val="left"/>
            </w:pPr>
            <w:r>
              <w:t xml:space="preserve">50,400,000</w:t>
            </w:r>
          </w:p>
        </w:tc>
        <w:tc>
          <w:tcPr/>
          <w:p>
            <w:pPr>
              <w:pStyle w:val="Compact"/>
              <w:jc w:val="left"/>
            </w:pPr>
            <w:r>
              <w:t xml:space="preserve">Before statutory deductions</w:t>
            </w:r>
          </w:p>
        </w:tc>
      </w:tr>
      <w:tr>
        <w:tc>
          <w:tcPr/>
          <w:p>
            <w:pPr>
              <w:pStyle w:val="Compact"/>
              <w:jc w:val="left"/>
            </w:pPr>
            <w:r>
              <w:t xml:space="preserve">3</w:t>
            </w:r>
          </w:p>
        </w:tc>
        <w:tc>
          <w:tcPr/>
          <w:p>
            <w:pPr>
              <w:pStyle w:val="Compact"/>
              <w:jc w:val="left"/>
            </w:pPr>
            <w:r>
              <w:t xml:space="preserve">Employer statutory social security contributions (10% of salary, 12 months)</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Mandatory under Kazakh law</w:t>
            </w:r>
          </w:p>
        </w:tc>
      </w:tr>
      <w:tr>
        <w:tc>
          <w:tcPr/>
          <w:p>
            <w:pPr>
              <w:pStyle w:val="Compact"/>
              <w:jc w:val="left"/>
            </w:pPr>
            <w:r>
              <w:t xml:space="preserve">4</w:t>
            </w:r>
          </w:p>
        </w:tc>
        <w:tc>
          <w:tcPr/>
          <w:p>
            <w:pPr>
              <w:pStyle w:val="Compact"/>
              <w:jc w:val="left"/>
            </w:pPr>
            <w:r>
              <w:t xml:space="preserve">Employer pension fund contributions (GosFond, 10% of salary, 12 months)</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Mandatory under Kazakh law</w:t>
            </w:r>
          </w:p>
        </w:tc>
      </w:tr>
      <w:tr>
        <w:tc>
          <w:tcPr/>
          <w:p>
            <w:pPr>
              <w:pStyle w:val="Compact"/>
              <w:jc w:val="left"/>
            </w:pPr>
            <w:r>
              <w:t xml:space="preserve">5</w:t>
            </w:r>
          </w:p>
        </w:tc>
        <w:tc>
          <w:tcPr/>
          <w:p>
            <w:pPr>
              <w:pStyle w:val="Compact"/>
              <w:jc w:val="left"/>
            </w:pPr>
            <w:r>
              <w:t xml:space="preserve">Annual performance bonus (15% of annual base salary)</w:t>
            </w:r>
          </w:p>
        </w:tc>
        <w:tc>
          <w:tcPr/>
          <w:p>
            <w:pPr>
              <w:pStyle w:val="Compact"/>
              <w:jc w:val="left"/>
            </w:pPr>
            <w:r>
              <w:t xml:space="preserve">1</w:t>
            </w:r>
          </w:p>
        </w:tc>
        <w:tc>
          <w:tcPr/>
          <w:p>
            <w:pPr>
              <w:pStyle w:val="Compact"/>
              <w:jc w:val="left"/>
            </w:pPr>
            <w:r>
              <w:t xml:space="preserve">7,560,000</w:t>
            </w:r>
          </w:p>
        </w:tc>
        <w:tc>
          <w:tcPr/>
          <w:p>
            <w:pPr>
              <w:pStyle w:val="Compact"/>
              <w:jc w:val="left"/>
            </w:pPr>
            <w:r>
              <w:t xml:space="preserve">7,560,000</w:t>
            </w:r>
          </w:p>
        </w:tc>
        <w:tc>
          <w:tcPr/>
          <w:p>
            <w:pPr>
              <w:pStyle w:val="Compact"/>
              <w:jc w:val="left"/>
            </w:pPr>
            <w:r>
              <w:t xml:space="preserve">Subject to KPI achievement</w:t>
            </w:r>
          </w:p>
        </w:tc>
      </w:tr>
      <w:tr>
        <w:tc>
          <w:tcPr/>
          <w:p>
            <w:pPr>
              <w:pStyle w:val="Compact"/>
              <w:jc w:val="left"/>
            </w:pPr>
            <w:r>
              <w:t xml:space="preserve">6</w:t>
            </w:r>
          </w:p>
        </w:tc>
        <w:tc>
          <w:tcPr/>
          <w:p>
            <w:pPr>
              <w:pStyle w:val="Compact"/>
              <w:jc w:val="left"/>
            </w:pPr>
            <w:r>
              <w:t xml:space="preserve">Workstation setup (dual-monitor PC, ergonomic chair, desk, networking)</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One-time cost</w:t>
            </w:r>
          </w:p>
        </w:tc>
      </w:tr>
      <w:tr>
        <w:tc>
          <w:tcPr/>
          <w:p>
            <w:pPr>
              <w:pStyle w:val="Compact"/>
              <w:jc w:val="left"/>
            </w:pPr>
            <w:r>
              <w:t xml:space="preserve">7</w:t>
            </w:r>
          </w:p>
        </w:tc>
        <w:tc>
          <w:tcPr/>
          <w:p>
            <w:pPr>
              <w:pStyle w:val="Compact"/>
              <w:jc w:val="left"/>
            </w:pPr>
            <w:r>
              <w:t xml:space="preserve">Software licenses – Bloomberg Terminal (annual)</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USD 42,000 equivalent</w:t>
            </w:r>
          </w:p>
        </w:tc>
      </w:tr>
      <w:tr>
        <w:tc>
          <w:tcPr/>
          <w:p>
            <w:pPr>
              <w:pStyle w:val="Compact"/>
              <w:jc w:val="left"/>
            </w:pPr>
            <w:r>
              <w:t xml:space="preserve">8</w:t>
            </w:r>
          </w:p>
        </w:tc>
        <w:tc>
          <w:tcPr/>
          <w:p>
            <w:pPr>
              <w:pStyle w:val="Compact"/>
              <w:jc w:val="left"/>
            </w:pPr>
            <w:r>
              <w:t xml:space="preserve">Software licenses – SAP Financial Module &amp; Power BI (annual)</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Perpetual annual renewal</w:t>
            </w:r>
          </w:p>
        </w:tc>
      </w:tr>
      <w:tr>
        <w:tc>
          <w:tcPr/>
          <w:p>
            <w:pPr>
              <w:pStyle w:val="Compact"/>
              <w:jc w:val="left"/>
            </w:pPr>
            <w:r>
              <w:t xml:space="preserve">9</w:t>
            </w:r>
          </w:p>
        </w:tc>
        <w:tc>
          <w:tcPr/>
          <w:p>
            <w:pPr>
              <w:pStyle w:val="Compact"/>
              <w:jc w:val="left"/>
            </w:pPr>
            <w:r>
              <w:t xml:space="preserve">Professional development and CFA/CPA exam preparation support (annual)</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Includes course fees and materials</w:t>
            </w:r>
          </w:p>
        </w:tc>
      </w:tr>
      <w:tr>
        <w:tc>
          <w:tcPr/>
          <w:p>
            <w:pPr>
              <w:pStyle w:val="Compact"/>
              <w:jc w:val="left"/>
            </w:pPr>
            <w:r>
              <w:t xml:space="preserve">10</w:t>
            </w:r>
          </w:p>
        </w:tc>
        <w:tc>
          <w:tcPr/>
          <w:p>
            <w:pPr>
              <w:pStyle w:val="Compact"/>
              <w:jc w:val="left"/>
            </w:pPr>
            <w:r>
              <w:t xml:space="preserve">Administrative and onboarding services (contract drafting, State Revenue registration, medical examination)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One-time fee</w:t>
            </w:r>
          </w:p>
        </w:tc>
      </w:tr>
      <w:tr>
        <w:tc>
          <w:tcPr/>
          <w:p>
            <w:pPr>
              <w:pStyle w:val="Compact"/>
              <w:jc w:val="left"/>
            </w:pPr>
            <w:r>
              <w:t xml:space="preserve">11</w:t>
            </w:r>
          </w:p>
        </w:tc>
        <w:tc>
          <w:tcPr/>
          <w:p>
            <w:pPr>
              <w:pStyle w:val="Compact"/>
              <w:jc w:val="left"/>
            </w:pPr>
            <w:r>
              <w:t xml:space="preserve">First-year performance monitoring and quarterly review sessions</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Per quarter</w:t>
            </w:r>
          </w:p>
        </w:tc>
      </w:tr>
      <w:tr>
        <w:tc>
          <w:tcPr/>
          <w:p>
            <w:pPr>
              <w:pStyle w:val="Compact"/>
              <w:jc w:val="left"/>
            </w:pPr>
            <w:r>
              <w:t xml:space="preserve">12</w:t>
            </w:r>
          </w:p>
        </w:tc>
        <w:tc>
          <w:tcPr/>
          <w:p>
            <w:pPr>
              <w:pStyle w:val="Compact"/>
              <w:jc w:val="left"/>
            </w:pPr>
            <w:r>
              <w:t xml:space="preserve">Comprehensive health insurance (DIP) for the Financial Analyst (annual)</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c>
          <w:tcPr/>
          <w:p>
            <w:pPr>
              <w:pStyle w:val="Compact"/>
              <w:jc w:val="left"/>
            </w:pPr>
            <w:r>
              <w:t xml:space="preserve">Almaty-based provider</w:t>
            </w:r>
          </w:p>
        </w:tc>
      </w:tr>
      <w:tr>
        <w:tc>
          <w:tcPr>
            <w:gridSpan w:val="4"/>
          </w:tcPr>
          <w:p>
            <w:pPr>
              <w:pStyle w:val="Compact"/>
              <w:jc w:val="left"/>
            </w:pPr>
            <w:r>
              <w:t xml:space="preserve">SUBTOTAL (KZT)</w:t>
            </w:r>
          </w:p>
        </w:tc>
        <w:tc>
          <w:tcPr/>
          <w:p>
            <w:pPr>
              <w:pStyle w:val="Compact"/>
              <w:jc w:val="left"/>
            </w:pPr>
            <w:r>
              <w:t xml:space="preserve">97,840,000</w:t>
            </w:r>
          </w:p>
        </w:tc>
        <w:tc>
          <w:tcPr/>
          <w:p>
            <w:pPr>
              <w:pStyle w:val="Compact"/>
            </w:pPr>
          </w:p>
        </w:tc>
      </w:tr>
      <w:tr>
        <w:tc>
          <w:tcPr>
            <w:gridSpan w:val="4"/>
          </w:tcPr>
          <w:p>
            <w:pPr>
              <w:pStyle w:val="Compact"/>
              <w:jc w:val="left"/>
            </w:pPr>
            <w:r>
              <w:t xml:space="preserve">VAT (12% – applicable under Kazakhstan tax code)</w:t>
            </w:r>
          </w:p>
        </w:tc>
        <w:tc>
          <w:tcPr/>
          <w:p>
            <w:pPr>
              <w:pStyle w:val="Compact"/>
              <w:jc w:val="left"/>
            </w:pPr>
            <w:r>
              <w:t xml:space="preserve">11,740,800</w:t>
            </w:r>
          </w:p>
        </w:tc>
        <w:tc>
          <w:tcPr/>
          <w:p>
            <w:pPr>
              <w:pStyle w:val="Compact"/>
            </w:pPr>
          </w:p>
        </w:tc>
      </w:tr>
      <w:tr>
        <w:tc>
          <w:tcPr>
            <w:gridSpan w:val="4"/>
          </w:tcPr>
          <w:p>
            <w:pPr>
              <w:pStyle w:val="Compact"/>
              <w:jc w:val="left"/>
            </w:pPr>
            <w:r>
              <w:t xml:space="preserve">GRAND TOTAL (KZT)</w:t>
            </w:r>
          </w:p>
        </w:tc>
        <w:tc>
          <w:tcPr/>
          <w:p>
            <w:pPr>
              <w:pStyle w:val="Compact"/>
              <w:jc w:val="left"/>
            </w:pPr>
            <w:r>
              <w:t xml:space="preserve">109,580,800</w:t>
            </w:r>
          </w:p>
        </w:tc>
        <w:tc>
          <w:tcPr/>
          <w:p>
            <w:pPr>
              <w:pStyle w:val="Compact"/>
            </w:pP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Tenge (KZT) via bank transfer to the account of Almaty Professional Services Group LLP at Kaspi Bank, Almaty branch. The payment schedule is as follows:</w:t>
      </w:r>
    </w:p>
    <w:p>
      <w:pPr>
        <w:numPr>
          <w:ilvl w:val="0"/>
          <w:numId w:val="1002"/>
        </w:numPr>
        <w:pStyle w:val="Compact"/>
      </w:pPr>
      <w:r>
        <w:rPr>
          <w:bCs/>
          <w:b/>
        </w:rPr>
        <w:t xml:space="preserve">30% advance payment</w:t>
      </w:r>
      <w:r>
        <w:t xml:space="preserve"> </w:t>
      </w:r>
      <w:r>
        <w:t xml:space="preserve">(KZT 32,874,240) due within five (5) business days of mutual acceptance of this Quotation Estimate.</w:t>
      </w:r>
    </w:p>
    <w:p>
      <w:pPr>
        <w:numPr>
          <w:ilvl w:val="0"/>
          <w:numId w:val="1002"/>
        </w:numPr>
        <w:pStyle w:val="Compact"/>
      </w:pPr>
      <w:r>
        <w:rPr>
          <w:bCs/>
          <w:b/>
        </w:rPr>
        <w:t xml:space="preserve">Monthly salary and statutory contributions</w:t>
      </w:r>
      <w:r>
        <w:t xml:space="preserve"> </w:t>
      </w:r>
      <w:r>
        <w:t xml:space="preserve">to be remitted on the 25th of each month, in arrears.</w:t>
      </w:r>
    </w:p>
    <w:p>
      <w:pPr>
        <w:numPr>
          <w:ilvl w:val="0"/>
          <w:numId w:val="1002"/>
        </w:numPr>
        <w:pStyle w:val="Compact"/>
      </w:pPr>
      <w:r>
        <w:rPr>
          <w:bCs/>
          <w:b/>
        </w:rPr>
        <w:t xml:space="preserve">Remaining one-time costs</w:t>
      </w:r>
      <w:r>
        <w:t xml:space="preserve"> </w:t>
      </w:r>
      <w:r>
        <w:t xml:space="preserve">(recruitment, workstation, software, insurance, onboarding) to be settled within ten (10) business days of the Financial Analyst's official start date in Kazakhstan Almaty.</w:t>
      </w:r>
    </w:p>
    <w:p>
      <w:pPr>
        <w:numPr>
          <w:ilvl w:val="0"/>
          <w:numId w:val="1002"/>
        </w:numPr>
        <w:pStyle w:val="Compact"/>
      </w:pPr>
      <w:r>
        <w:rPr>
          <w:bCs/>
          <w:b/>
        </w:rPr>
        <w:t xml:space="preserve">Annual bonus</w:t>
      </w:r>
      <w:r>
        <w:t xml:space="preserve"> </w:t>
      </w:r>
      <w:r>
        <w:t xml:space="preserve">to be paid in December of the first contract year, contingent upon satisfactory KPI evaluation.</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Any request for services beyond this period will require a revised Quotation Estimate reflecting current market rates in Kazakhstan Almaty.</w:t>
      </w:r>
    </w:p>
    <w:p>
      <w:pPr>
        <w:numPr>
          <w:ilvl w:val="0"/>
          <w:numId w:val="1003"/>
        </w:numPr>
        <w:pStyle w:val="Compact"/>
      </w:pPr>
      <w:r>
        <w:t xml:space="preserve">All prices are quoted in Kazakhstani Tenge (KZT) and are inclusive of applicable local taxes unless otherwise stated. The 12% VAT is calculated in accordance with the Tax Code of the Republic of Kazakhstan.</w:t>
      </w:r>
    </w:p>
    <w:p>
      <w:pPr>
        <w:numPr>
          <w:ilvl w:val="0"/>
          <w:numId w:val="1003"/>
        </w:numPr>
        <w:pStyle w:val="Compact"/>
      </w:pPr>
      <w:r>
        <w:t xml:space="preserve">The Financial Analyst shall be employed under a standard indefinite-term employment contract governed by the Labor Code of the Republic of Kazakhstan. The first-year engagement described in this Quotation Estimate does not constitute a fixed-term limitation.</w:t>
      </w:r>
    </w:p>
    <w:p>
      <w:pPr>
        <w:numPr>
          <w:ilvl w:val="0"/>
          <w:numId w:val="1003"/>
        </w:numPr>
        <w:pStyle w:val="Compact"/>
      </w:pPr>
      <w:r>
        <w:t xml:space="preserve">Almaty Professional Services Group LLP shall not be liable for any changes in statutory contribution rates, minimum wage adjustments, or regulatory amendments issued by the Ministry of Labor and Social Protection of the Republic of Kazakhstan during the contract period. Any such changes will be communicated in writing and reflected in a supplementary Quotation Estimate.</w:t>
      </w:r>
    </w:p>
    <w:p>
      <w:pPr>
        <w:numPr>
          <w:ilvl w:val="0"/>
          <w:numId w:val="1003"/>
        </w:numPr>
        <w:pStyle w:val="Compact"/>
      </w:pPr>
      <w:r>
        <w:t xml:space="preserve">Confidentiality: All financial data, client records, and internal reports accessed by the Financial Analyst in Kazakhstan Almaty are subject to a strict non-disclosure agreement (NDA) executed prior to the commencement of duties.</w:t>
      </w:r>
    </w:p>
    <w:p>
      <w:pPr>
        <w:numPr>
          <w:ilvl w:val="0"/>
          <w:numId w:val="1003"/>
        </w:numPr>
        <w:pStyle w:val="Compact"/>
      </w:pPr>
      <w:r>
        <w:t xml:space="preserve">Dispute resolution: Any disputes arising from this Quotation Estimate shall be resolved through negotiation, and failing that, through the Arbitration Court of Almaty City, Republic of Kazakhstan, in accordance with Kazakhstani civil procedure law.</w:t>
      </w:r>
    </w:p>
    <w:p>
      <w:pPr>
        <w:numPr>
          <w:ilvl w:val="0"/>
          <w:numId w:val="1003"/>
        </w:numPr>
        <w:pStyle w:val="Compact"/>
      </w:pPr>
      <w:r>
        <w:t xml:space="preserve">This Quotation Estimate does not constitute a binding contract until countersigned by both parties and the advance payment has been received in full.</w:t>
      </w:r>
    </w:p>
    <w:p>
      <w:pPr>
        <w:pStyle w:val="FirstParagraph"/>
      </w:pPr>
      <w:r>
        <w:rPr>
          <w:bCs/>
          <w:b/>
        </w:rPr>
        <w:t xml:space="preserve">Note:</w:t>
      </w:r>
      <w:r>
        <w:t xml:space="preserve"> </w:t>
      </w:r>
      <w:r>
        <w:t xml:space="preserve">This Quotation Estimate has been prepared specifically for the Kazakhstan Almaty market and reflects current 2025 salary benchmarks for a senior Financial Analyst in the Almaty financial district. Rates are subject to revision based on the National Bank of Kazakhstan's exchange rate fluctuations for USD-denominated software licenses.</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the terms, conditions, and cost structure set forth in this Quotation Estimate for the engagement of a Financial Analyst in Kazakhstan Almaty.</w:t>
      </w:r>
    </w:p>
    <w:p>
      <w:pPr>
        <w:pStyle w:val="BodyText"/>
      </w:pPr>
      <w:r>
        <w:rPr>
          <w:bCs/>
          <w:b/>
        </w:rPr>
        <w:t xml:space="preserve">For and on behalf of:</w:t>
      </w:r>
      <w:r>
        <w:br/>
      </w:r>
      <w:r>
        <w:t xml:space="preserve">Almaty Professional Services Group LLP</w:t>
      </w:r>
    </w:p>
    <w:p>
      <w:pPr>
        <w:pStyle w:val="BodyText"/>
      </w:pPr>
      <w:r>
        <w:t xml:space="preserve">_______________________________</w:t>
      </w:r>
    </w:p>
    <w:p>
      <w:pPr>
        <w:pStyle w:val="BodyText"/>
      </w:pPr>
      <w:r>
        <w:t xml:space="preserve">Name: D. Nurlanov</w:t>
      </w:r>
    </w:p>
    <w:p>
      <w:pPr>
        <w:pStyle w:val="BodyText"/>
      </w:pPr>
      <w:r>
        <w:t xml:space="preserve">Title: Senior Accountant / Authorized Signatory</w:t>
      </w:r>
    </w:p>
    <w:p>
      <w:pPr>
        <w:pStyle w:val="BodyText"/>
      </w:pPr>
      <w:r>
        <w:t xml:space="preserve">Date: _______________</w:t>
      </w:r>
    </w:p>
    <w:p>
      <w:pPr>
        <w:pStyle w:val="BodyText"/>
      </w:pPr>
      <w:r>
        <w:t xml:space="preserve">Company Stamp:</w:t>
      </w:r>
    </w:p>
    <w:p>
      <w:pPr>
        <w:pStyle w:val="BodyText"/>
      </w:pPr>
      <w:r>
        <w:rPr>
          <w:bCs/>
          <w:b/>
        </w:rPr>
        <w:t xml:space="preserve">For and on behalf of:</w:t>
      </w:r>
      <w:r>
        <w:br/>
      </w:r>
      <w:r>
        <w:t xml:space="preserve">Tenge Capital Partners JSC</w:t>
      </w:r>
    </w:p>
    <w:p>
      <w:pPr>
        <w:pStyle w:val="BodyText"/>
      </w:pPr>
      <w:r>
        <w:t xml:space="preserve">_______________________________</w:t>
      </w:r>
    </w:p>
    <w:p>
      <w:pPr>
        <w:pStyle w:val="BodyText"/>
      </w:pPr>
      <w:r>
        <w:t xml:space="preserve">Name: A. Serikova</w:t>
      </w:r>
    </w:p>
    <w:p>
      <w:pPr>
        <w:pStyle w:val="BodyText"/>
      </w:pPr>
      <w:r>
        <w:t xml:space="preserve">Title: Head of Finance Department</w:t>
      </w:r>
    </w:p>
    <w:p>
      <w:pPr>
        <w:pStyle w:val="BodyText"/>
      </w:pPr>
      <w:r>
        <w:t xml:space="preserve">Date: _______________</w:t>
      </w:r>
    </w:p>
    <w:p>
      <w:pPr>
        <w:pStyle w:val="BodyText"/>
      </w:pPr>
      <w:r>
        <w:t xml:space="preserve">Company Stamp:</w:t>
      </w:r>
    </w:p>
    <w:p>
      <w:pPr>
        <w:pStyle w:val="BodyText"/>
      </w:pPr>
      <w:r>
        <w:t xml:space="preserve">— End of Quotation Estimate QTE-2025-04871 —</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Kazakhstan Almaty</dc:title>
  <dc:creator/>
  <dc:language>en</dc:language>
  <cp:keywords/>
  <dcterms:created xsi:type="dcterms:W3CDTF">2026-10-10T07:00:50Z</dcterms:created>
  <dcterms:modified xsi:type="dcterms:W3CDTF">2026-10-10T07:00:50Z</dcterms:modified>
</cp:coreProperties>
</file>

<file path=docProps/custom.xml><?xml version="1.0" encoding="utf-8"?>
<Properties xmlns="http://schemas.openxmlformats.org/officeDocument/2006/custom-properties" xmlns:vt="http://schemas.openxmlformats.org/officeDocument/2006/docPropsVTypes"/>
</file>