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Financial Analyst Services — Kuwait, Kuwait City</w:t>
      </w:r>
    </w:p>
    <w:bookmarkEnd w:id="20"/>
    <w:p>
      <w:pPr>
        <w:pStyle w:val="BodyText"/>
      </w:pPr>
      <w:r>
        <w:rPr>
          <w:bCs/>
          <w:b/>
        </w:rPr>
        <w:t xml:space="preserve">Quotation No.</w:t>
      </w:r>
      <w:r>
        <w:t xml:space="preserve"> </w:t>
      </w:r>
      <w:r>
        <w:t xml:space="preserve">QE-KWT-2025-0472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Kuwait, Kuwait City</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Meridian Financial Advisory Group (KFH Tower, 12th Floor, Al Fahaheel Road, Kuwait City, State of Kuwait) to provide a comprehensive and transparent cost breakdown for the engagement of a qualified</w:t>
      </w:r>
      <w:r>
        <w:t xml:space="preserve"> </w:t>
      </w:r>
      <w:r>
        <w:t xml:space="preserve">Financial Analyst</w:t>
      </w:r>
      <w:r>
        <w:t xml:space="preserve"> </w:t>
      </w:r>
      <w:r>
        <w:t xml:space="preserve">to deliver specialized analytical services within the Kuwait, Kuwait City business district. This document serves as the definitive</w:t>
      </w:r>
      <w:r>
        <w:t xml:space="preserve"> </w:t>
      </w:r>
      <w:r>
        <w:t xml:space="preserve">Quotation Estimate</w:t>
      </w:r>
      <w:r>
        <w:t xml:space="preserve"> </w:t>
      </w:r>
      <w:r>
        <w:t xml:space="preserve">outlining the scope, deliverables, fee structure, and contractual terms governing the proposed engagement. All pricing referenced herein is denominated in Kuwaiti Dinar (KWD) and reflects current market rates applicable to the Kuwait, Kuwait City professional services sector as of the date of issue.</w:t>
      </w:r>
    </w:p>
    <w:bookmarkEnd w:id="21"/>
    <w:bookmarkStart w:id="22" w:name="Xc71ca9f107dc19ad1a35be8656fe3f8577b2b82"/>
    <w:p>
      <w:pPr>
        <w:pStyle w:val="Heading2"/>
      </w:pPr>
      <w:r>
        <w:t xml:space="preserve">2. Scope of Services — Financial Analyst Engagement</w:t>
      </w:r>
    </w:p>
    <w:p>
      <w:pPr>
        <w:pStyle w:val="FirstParagraph"/>
      </w:pPr>
      <w:r>
        <w:t xml:space="preserve">The</w:t>
      </w:r>
      <w:r>
        <w:t xml:space="preserve"> </w:t>
      </w:r>
      <w:r>
        <w:t xml:space="preserve">Financial Analyst</w:t>
      </w:r>
      <w:r>
        <w:t xml:space="preserve"> </w:t>
      </w:r>
      <w:r>
        <w:t xml:space="preserve">engaged under this</w:t>
      </w:r>
      <w:r>
        <w:t xml:space="preserve"> </w:t>
      </w:r>
      <w:r>
        <w:t xml:space="preserve">Quotation Estimate</w:t>
      </w:r>
      <w:r>
        <w:t xml:space="preserve"> </w:t>
      </w:r>
      <w:r>
        <w:t xml:space="preserve">shall perform the following duties and responsibilities on behalf of the client organization, operating primarily from the Kuwait, Kuwait City office premises: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Duration</w:t>
            </w:r>
          </w:p>
        </w:tc>
      </w:tr>
      <w:tr>
        <w:tc>
          <w:tcPr/>
          <w:p>
            <w:pPr>
              <w:pStyle w:val="Compact"/>
              <w:jc w:val="left"/>
            </w:pPr>
            <w:r>
              <w:t xml:space="preserve">Financial Modeling &amp; Forecasting</w:t>
            </w:r>
          </w:p>
        </w:tc>
        <w:tc>
          <w:tcPr/>
          <w:p>
            <w:pPr>
              <w:pStyle w:val="Compact"/>
              <w:jc w:val="left"/>
            </w:pPr>
            <w:r>
              <w:t xml:space="preserve">Development and maintenance of multi-year financial models, revenue projections, and cash flow forecasts tailored to the Kuwait, Kuwait City market conditions.</w:t>
            </w:r>
          </w:p>
        </w:tc>
        <w:tc>
          <w:tcPr/>
          <w:p>
            <w:pPr>
              <w:pStyle w:val="Compact"/>
              <w:jc w:val="left"/>
            </w:pPr>
            <w:r>
              <w:t xml:space="preserve">12 months</w:t>
            </w:r>
          </w:p>
        </w:tc>
      </w:tr>
      <w:tr>
        <w:tc>
          <w:tcPr/>
          <w:p>
            <w:pPr>
              <w:pStyle w:val="Compact"/>
              <w:jc w:val="left"/>
            </w:pPr>
            <w:r>
              <w:t xml:space="preserve">Budget Analysis &amp; Variance Reporting</w:t>
            </w:r>
          </w:p>
        </w:tc>
        <w:tc>
          <w:tcPr/>
          <w:p>
            <w:pPr>
              <w:pStyle w:val="Compact"/>
              <w:jc w:val="left"/>
            </w:pPr>
            <w:r>
              <w:t xml:space="preserve">Monthly preparation of budget-to-actual variance reports, identifying cost overruns and recommending corrective financial actions.</w:t>
            </w:r>
          </w:p>
        </w:tc>
        <w:tc>
          <w:tcPr/>
          <w:p>
            <w:pPr>
              <w:pStyle w:val="Compact"/>
              <w:jc w:val="left"/>
            </w:pPr>
            <w:r>
              <w:t xml:space="preserve">12 months</w:t>
            </w:r>
          </w:p>
        </w:tc>
      </w:tr>
      <w:tr>
        <w:tc>
          <w:tcPr/>
          <w:p>
            <w:pPr>
              <w:pStyle w:val="Compact"/>
              <w:jc w:val="left"/>
            </w:pPr>
            <w:r>
              <w:t xml:space="preserve">Investment Appraisal</w:t>
            </w:r>
          </w:p>
        </w:tc>
        <w:tc>
          <w:tcPr/>
          <w:p>
            <w:pPr>
              <w:pStyle w:val="Compact"/>
              <w:jc w:val="left"/>
            </w:pPr>
            <w:r>
              <w:t xml:space="preserve">Conducting NPV, IRR, and payback period analyses for capital expenditure proposals relevant to operations in Kuwait, Kuwait City.</w:t>
            </w:r>
          </w:p>
        </w:tc>
        <w:tc>
          <w:tcPr/>
          <w:p>
            <w:pPr>
              <w:pStyle w:val="Compact"/>
              <w:jc w:val="left"/>
            </w:pPr>
            <w:r>
              <w:t xml:space="preserve">12 months</w:t>
            </w:r>
          </w:p>
        </w:tc>
      </w:tr>
      <w:tr>
        <w:tc>
          <w:tcPr/>
          <w:p>
            <w:pPr>
              <w:pStyle w:val="Compact"/>
              <w:jc w:val="left"/>
            </w:pPr>
            <w:r>
              <w:t xml:space="preserve">Regulatory Compliance Reporting</w:t>
            </w:r>
          </w:p>
        </w:tc>
        <w:tc>
          <w:tcPr/>
          <w:p>
            <w:pPr>
              <w:pStyle w:val="Compact"/>
              <w:jc w:val="left"/>
            </w:pPr>
            <w:r>
              <w:t xml:space="preserve">Ensuring all financial reporting aligns with Kuwait Central Bank guidelines and local statutory requirements applicable in Kuwait, Kuwait City.</w:t>
            </w:r>
          </w:p>
        </w:tc>
        <w:tc>
          <w:tcPr/>
          <w:p>
            <w:pPr>
              <w:pStyle w:val="Compact"/>
              <w:jc w:val="left"/>
            </w:pPr>
            <w:r>
              <w:t xml:space="preserve">12 months</w:t>
            </w:r>
          </w:p>
        </w:tc>
      </w:tr>
      <w:tr>
        <w:tc>
          <w:tcPr/>
          <w:p>
            <w:pPr>
              <w:pStyle w:val="Compact"/>
              <w:jc w:val="left"/>
            </w:pPr>
            <w:r>
              <w:t xml:space="preserve">Ad-hoc Analytical Support</w:t>
            </w:r>
          </w:p>
        </w:tc>
        <w:tc>
          <w:tcPr/>
          <w:p>
            <w:pPr>
              <w:pStyle w:val="Compact"/>
              <w:jc w:val="left"/>
            </w:pPr>
            <w:r>
              <w:t xml:space="preserve">Provision of on-demand data analysis, ad-hoc reporting, and executive briefing materials for senior management in Kuwait, Kuwait City.</w:t>
            </w:r>
          </w:p>
        </w:tc>
        <w:tc>
          <w:tcPr/>
          <w:p>
            <w:pPr>
              <w:pStyle w:val="Compact"/>
              <w:jc w:val="left"/>
            </w:pPr>
            <w:r>
              <w:t xml:space="preserve">12 months</w:t>
            </w:r>
          </w:p>
        </w:tc>
      </w:tr>
    </w:tbl>
    <w:bookmarkEnd w:id="22"/>
    <w:bookmarkStart w:id="23" w:name="fee-structure-and-cost-breakdown"/>
    <w:p>
      <w:pPr>
        <w:pStyle w:val="Heading2"/>
      </w:pPr>
      <w:r>
        <w:t xml:space="preserve">3. Fee Structure and Cost Breakdown</w:t>
      </w:r>
    </w:p>
    <w:p>
      <w:pPr>
        <w:pStyle w:val="FirstParagraph"/>
      </w:pPr>
      <w:r>
        <w:t xml:space="preserve">The following</w:t>
      </w:r>
      <w:r>
        <w:t xml:space="preserve"> </w:t>
      </w:r>
      <w:r>
        <w:t xml:space="preserve">Quotation Estimate</w:t>
      </w:r>
      <w:r>
        <w:t xml:space="preserve"> </w:t>
      </w:r>
      <w:r>
        <w:t xml:space="preserve">presents the itemized cost structure for the</w:t>
      </w:r>
      <w:r>
        <w:t xml:space="preserve"> </w:t>
      </w:r>
      <w:r>
        <w:t xml:space="preserve">Financial Analyst</w:t>
      </w:r>
      <w:r>
        <w:t xml:space="preserve"> </w:t>
      </w:r>
      <w:r>
        <w:t xml:space="preserve">engagement. All fees are exclusive of 5% Value Added Tax (VAT) as mandated by the Kuwait, Kuwait City tax authority.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Unit Rate (KWD)</w:t>
            </w:r>
          </w:p>
        </w:tc>
        <w:tc>
          <w:tcPr/>
          <w:p>
            <w:pPr>
              <w:pStyle w:val="Compact"/>
              <w:jc w:val="left"/>
            </w:pPr>
            <w:r>
              <w:t xml:space="preserve">Quantity</w:t>
            </w:r>
          </w:p>
        </w:tc>
        <w:tc>
          <w:tcPr/>
          <w:p>
            <w:pPr>
              <w:pStyle w:val="Compact"/>
              <w:jc w:val="left"/>
            </w:pPr>
            <w:r>
              <w:t xml:space="preserve">Amount (KWD)</w:t>
            </w:r>
          </w:p>
        </w:tc>
      </w:tr>
      <w:tr>
        <w:tc>
          <w:tcPr/>
          <w:p>
            <w:pPr>
              <w:pStyle w:val="Compact"/>
              <w:jc w:val="left"/>
            </w:pPr>
            <w:r>
              <w:t xml:space="preserve">Senior Financial Analyst — Monthly Professional Fee</w:t>
            </w:r>
          </w:p>
        </w:tc>
        <w:tc>
          <w:tcPr/>
          <w:p>
            <w:pPr>
              <w:pStyle w:val="Compact"/>
              <w:jc w:val="left"/>
            </w:pPr>
            <w:r>
              <w:t xml:space="preserve">1,850.00</w:t>
            </w:r>
          </w:p>
        </w:tc>
        <w:tc>
          <w:tcPr/>
          <w:p>
            <w:pPr>
              <w:pStyle w:val="Compact"/>
              <w:jc w:val="left"/>
            </w:pPr>
            <w:r>
              <w:t xml:space="preserve">12 months</w:t>
            </w:r>
          </w:p>
        </w:tc>
        <w:tc>
          <w:tcPr/>
          <w:p>
            <w:pPr>
              <w:pStyle w:val="Compact"/>
              <w:jc w:val="left"/>
            </w:pPr>
            <w:r>
              <w:t xml:space="preserve">22,200.00</w:t>
            </w:r>
          </w:p>
        </w:tc>
      </w:tr>
      <w:tr>
        <w:tc>
          <w:tcPr/>
          <w:p>
            <w:pPr>
              <w:pStyle w:val="Compact"/>
              <w:jc w:val="left"/>
            </w:pPr>
            <w:r>
              <w:t xml:space="preserve">Financial Modeling Software License (Annual)</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Market Data &amp; Research Subscriptions (Kuwait, Kuwait City)</w:t>
            </w:r>
          </w:p>
        </w:tc>
        <w:tc>
          <w:tcPr/>
          <w:p>
            <w:pPr>
              <w:pStyle w:val="Compact"/>
              <w:jc w:val="left"/>
            </w:pPr>
            <w:r>
              <w:t xml:space="preserve">450.00</w:t>
            </w:r>
          </w:p>
        </w:tc>
        <w:tc>
          <w:tcPr/>
          <w:p>
            <w:pPr>
              <w:pStyle w:val="Compact"/>
              <w:jc w:val="left"/>
            </w:pPr>
            <w:r>
              <w:t xml:space="preserve">12 months</w:t>
            </w:r>
          </w:p>
        </w:tc>
        <w:tc>
          <w:tcPr/>
          <w:p>
            <w:pPr>
              <w:pStyle w:val="Compact"/>
              <w:jc w:val="left"/>
            </w:pPr>
            <w:r>
              <w:t xml:space="preserve">5,400.00</w:t>
            </w:r>
          </w:p>
        </w:tc>
      </w:tr>
      <w:tr>
        <w:tc>
          <w:tcPr/>
          <w:p>
            <w:pPr>
              <w:pStyle w:val="Compact"/>
              <w:jc w:val="left"/>
            </w:pPr>
            <w:r>
              <w:t xml:space="preserve">On-site Consultation &amp; Workshop Facilitation</w:t>
            </w:r>
          </w:p>
        </w:tc>
        <w:tc>
          <w:tcPr/>
          <w:p>
            <w:pPr>
              <w:pStyle w:val="Compact"/>
              <w:jc w:val="left"/>
            </w:pPr>
            <w:r>
              <w:t xml:space="preserve">350.00</w:t>
            </w:r>
          </w:p>
        </w:tc>
        <w:tc>
          <w:tcPr/>
          <w:p>
            <w:pPr>
              <w:pStyle w:val="Compact"/>
              <w:jc w:val="left"/>
            </w:pPr>
            <w:r>
              <w:t xml:space="preserve">6 sessions</w:t>
            </w:r>
          </w:p>
        </w:tc>
        <w:tc>
          <w:tcPr/>
          <w:p>
            <w:pPr>
              <w:pStyle w:val="Compact"/>
              <w:jc w:val="left"/>
            </w:pPr>
            <w:r>
              <w:t xml:space="preserve">2,100.00</w:t>
            </w:r>
          </w:p>
        </w:tc>
      </w:tr>
      <w:tr>
        <w:tc>
          <w:tcPr/>
          <w:p>
            <w:pPr>
              <w:pStyle w:val="Compact"/>
              <w:jc w:val="left"/>
            </w:pPr>
            <w:r>
              <w:t xml:space="preserve">Travel &amp; Local Transportation (Kuwait City Metro Area)</w:t>
            </w:r>
          </w:p>
        </w:tc>
        <w:tc>
          <w:tcPr/>
          <w:p>
            <w:pPr>
              <w:pStyle w:val="Compact"/>
              <w:jc w:val="left"/>
            </w:pPr>
            <w:r>
              <w:t xml:space="preserve">120.00</w:t>
            </w:r>
          </w:p>
        </w:tc>
        <w:tc>
          <w:tcPr/>
          <w:p>
            <w:pPr>
              <w:pStyle w:val="Compact"/>
              <w:jc w:val="left"/>
            </w:pPr>
            <w:r>
              <w:t xml:space="preserve">12 months</w:t>
            </w:r>
          </w:p>
        </w:tc>
        <w:tc>
          <w:tcPr/>
          <w:p>
            <w:pPr>
              <w:pStyle w:val="Compact"/>
              <w:jc w:val="left"/>
            </w:pPr>
            <w:r>
              <w:t xml:space="preserve">1,440.00</w:t>
            </w:r>
          </w:p>
        </w:tc>
      </w:tr>
      <w:tr>
        <w:tc>
          <w:tcPr>
            <w:gridSpan w:val="3"/>
          </w:tcPr>
          <w:p>
            <w:pPr>
              <w:pStyle w:val="Compact"/>
              <w:jc w:val="left"/>
            </w:pPr>
            <w:r>
              <w:t xml:space="preserve">Subtotal</w:t>
            </w:r>
          </w:p>
        </w:tc>
        <w:tc>
          <w:tcPr/>
          <w:p>
            <w:pPr>
              <w:pStyle w:val="Compact"/>
              <w:jc w:val="left"/>
            </w:pPr>
            <w:r>
              <w:t xml:space="preserve">32,340.00</w:t>
            </w:r>
          </w:p>
        </w:tc>
      </w:tr>
      <w:tr>
        <w:tc>
          <w:tcPr/>
          <w:p>
            <w:pPr>
              <w:pStyle w:val="Compact"/>
              <w:jc w:val="left"/>
            </w:pPr>
            <w:r>
              <w:t xml:space="preserve">VAT @ 5% (Kuwait, Kuwait City)</w:t>
            </w:r>
          </w:p>
        </w:tc>
        <w:tc>
          <w:tcPr>
            <w:gridSpan w:val="2"/>
          </w:tcPr>
          <w:p>
            <w:pPr>
              <w:pStyle w:val="Compact"/>
            </w:pPr>
          </w:p>
        </w:tc>
        <w:tc>
          <w:tcPr/>
          <w:p>
            <w:pPr>
              <w:pStyle w:val="Compact"/>
              <w:jc w:val="left"/>
            </w:pPr>
            <w:r>
              <w:t xml:space="preserve">1,617.00</w:t>
            </w:r>
          </w:p>
        </w:tc>
      </w:tr>
      <w:tr>
        <w:tc>
          <w:tcPr>
            <w:gridSpan w:val="3"/>
          </w:tcPr>
          <w:p>
            <w:pPr>
              <w:pStyle w:val="Compact"/>
              <w:jc w:val="left"/>
            </w:pPr>
            <w:r>
              <w:t xml:space="preserve">Total Quotation Estimate Amount</w:t>
            </w:r>
          </w:p>
        </w:tc>
        <w:tc>
          <w:tcPr/>
          <w:p>
            <w:pPr>
              <w:pStyle w:val="Compact"/>
              <w:jc w:val="left"/>
            </w:pPr>
            <w:r>
              <w:t xml:space="preserve">33,957.00 KWD</w:t>
            </w:r>
          </w:p>
        </w:tc>
      </w:tr>
    </w:tbl>
    <w:bookmarkEnd w:id="23"/>
    <w:bookmarkStart w:id="24" w:name="X80fd6c6f041e7143e13c610ca15bceefcf5c540"/>
    <w:p>
      <w:pPr>
        <w:pStyle w:val="Heading2"/>
      </w:pPr>
      <w:r>
        <w:t xml:space="preserve">4. Qualifications of the Proposed Financial Analyst</w:t>
      </w:r>
    </w:p>
    <w:p>
      <w:pPr>
        <w:pStyle w:val="FirstParagraph"/>
      </w:pPr>
      <w:r>
        <w:t xml:space="preserve">The</w:t>
      </w:r>
      <w:r>
        <w:t xml:space="preserve"> </w:t>
      </w:r>
      <w:r>
        <w:t xml:space="preserve">Financial Analyst</w:t>
      </w:r>
      <w:r>
        <w:t xml:space="preserve"> </w:t>
      </w:r>
      <w:r>
        <w:t xml:space="preserve">proposed under this</w:t>
      </w:r>
      <w:r>
        <w:t xml:space="preserve"> </w:t>
      </w:r>
      <w:r>
        <w:t xml:space="preserve">Quotation Estimate</w:t>
      </w:r>
      <w:r>
        <w:t xml:space="preserve"> </w:t>
      </w:r>
      <w:r>
        <w:t xml:space="preserve">shall possess a minimum of seven (7) years of progressive experience in corporate finance, with at least three (3) years of direct experience operating within the Kuwait, Kuwait City financial services ecosystem. The candidate shall hold a Chartered Financial Analyst (CFA) designation or equivalent certification recognized by the Kuwait, Kuwait City regulatory authorities. Proficiency in Arabic and English is mandatory, given the bilingual operational environment of Kuwait, Kuwait City. The analyst shall demonstrate advanced competency in Microsoft Excel, SAP Financial Modules, Tableau, and Python-based data analytics tools.</w:t>
      </w:r>
    </w:p>
    <w:bookmarkEnd w:id="24"/>
    <w:bookmarkStart w:id="25" w:name="X985eb999f0cfcda5f1af1a675bf0b7c2e0a6c64"/>
    <w:p>
      <w:pPr>
        <w:pStyle w:val="Heading2"/>
      </w:pPr>
      <w:r>
        <w:t xml:space="preserve">5.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Upon expiry, all rates and terms must be reconfirmed in writing by Meridian Financial Advisory Group, Kuwait, Kuwait City.</w:t>
      </w:r>
    </w:p>
    <w:p>
      <w:pPr>
        <w:numPr>
          <w:ilvl w:val="0"/>
          <w:numId w:val="1001"/>
        </w:numPr>
        <w:pStyle w:val="Compact"/>
      </w:pPr>
      <w:r>
        <w:t xml:space="preserve">Payment terms: 30% advance upon acceptance of this</w:t>
      </w:r>
      <w:r>
        <w:t xml:space="preserve"> </w:t>
      </w:r>
      <w:r>
        <w:t xml:space="preserve">Quotation Estimate</w:t>
      </w:r>
      <w:r>
        <w:t xml:space="preserve">, with the remaining 70% payable in equal monthly installments aligned to the</w:t>
      </w:r>
      <w:r>
        <w:t xml:space="preserve"> </w:t>
      </w:r>
      <w:r>
        <w:t xml:space="preserve">Financial Analyst</w:t>
      </w:r>
      <w:r>
        <w:t xml:space="preserve">'s service delivery cycle.</w:t>
      </w:r>
    </w:p>
    <w:p>
      <w:pPr>
        <w:numPr>
          <w:ilvl w:val="0"/>
          <w:numId w:val="1001"/>
        </w:numPr>
        <w:pStyle w:val="Compact"/>
      </w:pPr>
      <w:r>
        <w:t xml:space="preserve">All work performed by the</w:t>
      </w:r>
      <w:r>
        <w:t xml:space="preserve"> </w:t>
      </w:r>
      <w:r>
        <w:t xml:space="preserve">Financial Analyst</w:t>
      </w:r>
      <w:r>
        <w:t xml:space="preserve"> </w:t>
      </w:r>
      <w:r>
        <w:t xml:space="preserve">shall be conducted in strict compliance with the data protection and financial confidentiality laws of the State of Kuwait, specifically as enforced in Kuwait, Kuwait City.</w:t>
      </w:r>
    </w:p>
    <w:p>
      <w:pPr>
        <w:numPr>
          <w:ilvl w:val="0"/>
          <w:numId w:val="1001"/>
        </w:numPr>
        <w:pStyle w:val="Compact"/>
      </w:pPr>
      <w:r>
        <w:t xml:space="preserve">The client reserves the right to request a revised</w:t>
      </w:r>
      <w:r>
        <w:t xml:space="preserve"> </w:t>
      </w:r>
      <w:r>
        <w:t xml:space="preserve">Quotation Estimate</w:t>
      </w:r>
      <w:r>
        <w:t xml:space="preserve"> </w:t>
      </w:r>
      <w:r>
        <w:t xml:space="preserve">should the scope of the</w:t>
      </w:r>
      <w:r>
        <w:t xml:space="preserve"> </w:t>
      </w:r>
      <w:r>
        <w:t xml:space="preserve">Financial Analyst</w:t>
      </w:r>
      <w:r>
        <w:t xml:space="preserve"> </w:t>
      </w:r>
      <w:r>
        <w:t xml:space="preserve">engagement be materially altered during the contract period.</w:t>
      </w:r>
    </w:p>
    <w:p>
      <w:pPr>
        <w:numPr>
          <w:ilvl w:val="0"/>
          <w:numId w:val="1001"/>
        </w:numPr>
        <w:pStyle w:val="Compact"/>
      </w:pPr>
      <w:r>
        <w:t xml:space="preserve">Any dispute arising from this</w:t>
      </w:r>
      <w:r>
        <w:t xml:space="preserve"> </w:t>
      </w:r>
      <w:r>
        <w:t xml:space="preserve">Quotation Estimate</w:t>
      </w:r>
      <w:r>
        <w:t xml:space="preserve"> </w:t>
      </w:r>
      <w:r>
        <w:t xml:space="preserve">shall be resolved through arbitration in accordance with the Kuwait, Kuwait City Commercial Arbitration Law.</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and the advance payment is received in the designated Kuwait, Kuwait City bank account.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accept the terms, conditions, and fee structure outlined in this</w:t>
      </w:r>
      <w:r>
        <w:t xml:space="preserve"> </w:t>
      </w:r>
      <w:r>
        <w:t xml:space="preserve">Quotation Estimate</w:t>
      </w:r>
      <w:r>
        <w:t xml:space="preserve"> </w:t>
      </w:r>
      <w:r>
        <w:t xml:space="preserve">for the engagement of the</w:t>
      </w:r>
      <w:r>
        <w:t xml:space="preserve"> </w:t>
      </w:r>
      <w:r>
        <w:t xml:space="preserve">Financial Analyst</w:t>
      </w:r>
      <w:r>
        <w:t xml:space="preserve"> </w:t>
      </w:r>
      <w:r>
        <w:t xml:space="preserve">in Kuwait, Kuwait City.</w:t>
      </w:r>
    </w:p>
    <w:p>
      <w:pPr>
        <w:pStyle w:val="BodyText"/>
      </w:pPr>
      <w:r>
        <w:t xml:space="preserve">For: Meridian Financial Advisory Group</w:t>
      </w:r>
      <w:r>
        <w:br/>
      </w:r>
      <w:r>
        <w:t xml:space="preserve">Kuwait, Kuwait City</w:t>
      </w:r>
      <w:r>
        <w:br/>
      </w:r>
      <w:r>
        <w:t xml:space="preserve">Authorized Signatory</w:t>
      </w:r>
    </w:p>
    <w:p>
      <w:pPr>
        <w:pStyle w:val="BodyText"/>
      </w:pPr>
      <w:r>
        <w:t xml:space="preserve">For: Client Organization</w:t>
      </w:r>
      <w:r>
        <w:br/>
      </w:r>
      <w:r>
        <w:t xml:space="preserve">Kuwait, Kuwait City</w:t>
      </w:r>
      <w:r>
        <w:br/>
      </w:r>
      <w:r>
        <w:t xml:space="preserve">Authorized Signatory</w:t>
      </w:r>
    </w:p>
    <w:p>
      <w:pPr>
        <w:pStyle w:val="BodyText"/>
      </w:pPr>
      <w:r>
        <w:t xml:space="preserve">Meridian Financial Advisory Group — KFH Tower, 12th Floor, Al Fahaheel Road, Kuwait City, State of Kuwait</w:t>
      </w:r>
      <w:r>
        <w:br/>
      </w:r>
      <w:r>
        <w:t xml:space="preserve">Tel: +965-2244-8800  |  Email: quotations@meridian-kwt.com  |  CR: 118452-KWT</w:t>
      </w:r>
      <w:r>
        <w:br/>
      </w:r>
      <w:r>
        <w:t xml:space="preserve">This Quotation Estimate document is confidential and intended solely for the named recipient. ©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Kuwait Kuwait City</dc:title>
  <dc:creator/>
  <dc:language>en</dc:language>
  <cp:keywords/>
  <dcterms:created xsi:type="dcterms:W3CDTF">2026-10-10T02:57:34Z</dcterms:created>
  <dcterms:modified xsi:type="dcterms:W3CDTF">2026-10-10T02:57:34Z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