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Apex Financial Advisory Sdn. Bhd.</w:t>
      </w:r>
    </w:p>
    <w:p>
      <w:pPr>
        <w:pStyle w:val="BodyText"/>
      </w:pPr>
      <w:r>
        <w:t xml:space="preserve">Level 28, Menara Maxis, Jalan Tun Razak, 50400 Kuala Lumpur, Malaysia</w:t>
      </w:r>
    </w:p>
    <w:p>
      <w:pPr>
        <w:pStyle w:val="BodyText"/>
      </w:pPr>
      <w:r>
        <w:t xml:space="preserve">Tel: +603-2181 8888 | Email: quotations@apexfinancial.my</w:t>
      </w:r>
    </w:p>
    <w:p>
      <w:pPr>
        <w:pStyle w:val="BodyText"/>
      </w:pPr>
      <w:r>
        <w:t xml:space="preserve">Company Reg. No: 201901045678 (K) | SST Reg. No: 001234567890</w:t>
      </w:r>
    </w:p>
    <w:bookmarkEnd w:id="20"/>
    <w:p>
      <w:pPr>
        <w:pStyle w:val="BodyText"/>
      </w:pPr>
      <w:r>
        <w:rPr>
          <w:bCs/>
          <w:b/>
        </w:rPr>
        <w:t xml:space="preserve">Quotation No:</w:t>
      </w:r>
      <w:r>
        <w:t xml:space="preserve"> </w:t>
      </w:r>
      <w:r>
        <w:t xml:space="preserve">QTE-FLA-KL-2025-0147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prepared by Apex Financial Advisory Sdn. Bhd. to provide a comprehensive and transparent cost breakdown for the engagement of a qualified</w:t>
      </w:r>
      <w:r>
        <w:t xml:space="preserve"> </w:t>
      </w:r>
      <w:r>
        <w:t xml:space="preserve">Financial Analyst</w:t>
      </w:r>
      <w:r>
        <w:t xml:space="preserve"> </w:t>
      </w:r>
      <w:r>
        <w:t xml:space="preserve">professional to be deployed and operated within the</w:t>
      </w:r>
      <w:r>
        <w:t xml:space="preserve"> </w:t>
      </w:r>
      <w:r>
        <w:t xml:space="preserve">Malaysia Kuala Lumpur</w:t>
      </w:r>
      <w:r>
        <w:t xml:space="preserve"> </w:t>
      </w:r>
      <w:r>
        <w:t xml:space="preserve">metropolitan area. This document serves as a formal proposal outlining the scope of services, deliverables, associated costs, and contractual terms governing the engagement. The</w:t>
      </w:r>
      <w:r>
        <w:t xml:space="preserve"> </w:t>
      </w:r>
      <w:r>
        <w:t xml:space="preserve">Financial Analyst</w:t>
      </w:r>
      <w:r>
        <w:t xml:space="preserve"> </w:t>
      </w:r>
      <w:r>
        <w:t xml:space="preserve">engagement described herein is specifically tailored to meet the operational, regulatory, and strategic requirements of clients conducting business in</w:t>
      </w:r>
      <w:r>
        <w:t xml:space="preserve"> </w:t>
      </w:r>
      <w:r>
        <w:t xml:space="preserve">Malaysia Kuala Lumpur</w:t>
      </w:r>
      <w:r>
        <w:t xml:space="preserve">, one of Southeast Asia's foremost financial and commercial hubs.</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shall perform the following duties and responsibilities while stationed in</w:t>
      </w:r>
      <w:r>
        <w:t xml:space="preserve"> </w:t>
      </w:r>
      <w:r>
        <w:t xml:space="preserve">Malaysia Kuala Lumpur</w:t>
      </w:r>
      <w:r>
        <w:t xml:space="preserve">:</w:t>
      </w:r>
    </w:p>
    <w:p>
      <w:pPr>
        <w:numPr>
          <w:ilvl w:val="0"/>
          <w:numId w:val="1001"/>
        </w:numPr>
        <w:pStyle w:val="Compact"/>
      </w:pPr>
      <w:r>
        <w:t xml:space="preserve">Preparation and maintenance of monthly, quarterly, and annual financial statements in compliance with Malaysian Financial Reporting Standards (MFRS) and the Companies Act 2016.</w:t>
      </w:r>
    </w:p>
    <w:p>
      <w:pPr>
        <w:numPr>
          <w:ilvl w:val="0"/>
          <w:numId w:val="1001"/>
        </w:numPr>
        <w:pStyle w:val="Compact"/>
      </w:pPr>
      <w:r>
        <w:t xml:space="preserve">Development of detailed financial models, variance analyses, and forecasting reports to support strategic decision-making for the client's operations in</w:t>
      </w:r>
      <w:r>
        <w:t xml:space="preserve"> </w:t>
      </w:r>
      <w:r>
        <w:t xml:space="preserve">Malaysia Kuala Lumpur</w:t>
      </w:r>
      <w:r>
        <w:t xml:space="preserve">.</w:t>
      </w:r>
    </w:p>
    <w:p>
      <w:pPr>
        <w:numPr>
          <w:ilvl w:val="0"/>
          <w:numId w:val="1001"/>
        </w:numPr>
        <w:pStyle w:val="Compact"/>
      </w:pPr>
      <w:r>
        <w:t xml:space="preserve">Conducting ratio analysis, trend analysis, and cash flow projections to identify areas of financial risk and opportunity.</w:t>
      </w:r>
    </w:p>
    <w:p>
      <w:pPr>
        <w:numPr>
          <w:ilvl w:val="0"/>
          <w:numId w:val="1001"/>
        </w:numPr>
        <w:pStyle w:val="Compact"/>
      </w:pPr>
      <w:r>
        <w:t xml:space="preserve">Assisting with budgeting processes, capital expenditure planning, and investment appraisal specific to the Malaysian market environment.</w:t>
      </w:r>
    </w:p>
    <w:p>
      <w:pPr>
        <w:numPr>
          <w:ilvl w:val="0"/>
          <w:numId w:val="1001"/>
        </w:numPr>
        <w:pStyle w:val="Compact"/>
      </w:pPr>
      <w:r>
        <w:t xml:space="preserve">Preparing regulatory filings and reports in coordination with the Securities Commission Malaysia (SC) and the Bursa Malaysia listing requirements where applicable.</w:t>
      </w:r>
    </w:p>
    <w:p>
      <w:pPr>
        <w:numPr>
          <w:ilvl w:val="0"/>
          <w:numId w:val="1001"/>
        </w:numPr>
        <w:pStyle w:val="Compact"/>
      </w:pPr>
      <w:r>
        <w:t xml:space="preserve">Providing ad-hoc financial research, market intelligence, and competitive benchmarking relevant to the</w:t>
      </w:r>
      <w:r>
        <w:t xml:space="preserve"> </w:t>
      </w:r>
      <w:r>
        <w:t xml:space="preserve">Malaysia Kuala Lumpur</w:t>
      </w:r>
      <w:r>
        <w:t xml:space="preserve"> </w:t>
      </w:r>
      <w:r>
        <w:t xml:space="preserve">business landscape.</w:t>
      </w:r>
    </w:p>
    <w:p>
      <w:pPr>
        <w:numPr>
          <w:ilvl w:val="0"/>
          <w:numId w:val="1001"/>
        </w:numPr>
        <w:pStyle w:val="Compact"/>
      </w:pPr>
      <w:r>
        <w:t xml:space="preserve">Collaborating with internal audit, tax, and treasury teams to ensure integrated financial reporting and compliance.</w:t>
      </w:r>
    </w:p>
    <w:bookmarkEnd w:id="22"/>
    <w:bookmarkStart w:id="23" w:name="itemized-cost-breakdown"/>
    <w:p>
      <w:pPr>
        <w:pStyle w:val="Heading2"/>
      </w:pPr>
      <w:r>
        <w:t xml:space="preserve">3. Itemized Cost Breakdown</w:t>
      </w:r>
    </w:p>
    <w:p>
      <w:pPr>
        <w:pStyle w:val="FirstParagraph"/>
      </w:pPr>
      <w:r>
        <w:t xml:space="preserve">The following table presents the detailed cost structure for this</w:t>
      </w:r>
      <w:r>
        <w:t xml:space="preserve"> </w:t>
      </w:r>
      <w:r>
        <w:t xml:space="preserve">Quotation Estimate</w:t>
      </w:r>
      <w:r>
        <w:t xml:space="preserve">. All amounts are stated in Malaysian Ringgit (MYR) and are inclusive of applicable statutory deductions as per Malaysian employment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Financial Analyst – Monthly Professional Fee (includes salary, EPF, SOCSO, EIS, and employer contributions)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Onboarding, Recruitment, and Placement Fee (one-time)</w:t>
            </w:r>
          </w:p>
        </w:tc>
        <w:tc>
          <w:tcPr/>
          <w:p>
            <w:pPr>
              <w:pStyle w:val="Compact"/>
              <w:jc w:val="left"/>
            </w:pPr>
            <w:r>
              <w:t xml:space="preserve">One-off</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Workstation Setup, Software Licences (Bloomberg Terminal access, SAP/Oracle modules), and IT Provisioning in Kuala Lumpur office</w:t>
            </w:r>
          </w:p>
        </w:tc>
        <w:tc>
          <w:tcPr/>
          <w:p>
            <w:pPr>
              <w:pStyle w:val="Compact"/>
              <w:jc w:val="left"/>
            </w:pPr>
            <w:r>
              <w:t xml:space="preserve">One-off</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Professional Development and CPD Training (MFRS updates, SC regulatory workshops, data analytics certification)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Administrative and Management Overhead (HR support, compliance monitoring, performance review cycles)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Local Travel and Site Visits within Malaysia Kuala Lumpur and surrounding states (Petaling Jaya, Shah Alam, Cyberjaya)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4,800.00</w:t>
            </w:r>
          </w:p>
        </w:tc>
      </w:tr>
      <w:tr>
        <w:tc>
          <w:tcPr>
            <w:gridSpan w:val="4"/>
          </w:tcPr>
          <w:p>
            <w:pPr>
              <w:pStyle w:val="Compact"/>
              <w:jc w:val="left"/>
            </w:pPr>
            <w:r>
              <w:t xml:space="preserve">Subtotal (Excluding SST @ 8%)</w:t>
            </w:r>
          </w:p>
        </w:tc>
        <w:tc>
          <w:tcPr/>
          <w:p>
            <w:pPr>
              <w:pStyle w:val="Compact"/>
              <w:jc w:val="left"/>
            </w:pPr>
            <w:r>
              <w:t xml:space="preserve">267,700.00</w:t>
            </w:r>
          </w:p>
        </w:tc>
      </w:tr>
      <w:tr>
        <w:tc>
          <w:tcPr>
            <w:gridSpan w:val="4"/>
          </w:tcPr>
          <w:p>
            <w:pPr>
              <w:pStyle w:val="Compact"/>
              <w:jc w:val="left"/>
            </w:pPr>
            <w:r>
              <w:t xml:space="preserve">Sales and Service Tax (SST) @ 8%</w:t>
            </w:r>
          </w:p>
        </w:tc>
        <w:tc>
          <w:tcPr/>
          <w:p>
            <w:pPr>
              <w:pStyle w:val="Compact"/>
              <w:jc w:val="left"/>
            </w:pPr>
            <w:r>
              <w:t xml:space="preserve">21,416.00</w:t>
            </w:r>
          </w:p>
        </w:tc>
      </w:tr>
      <w:tr>
        <w:tc>
          <w:tcPr>
            <w:gridSpan w:val="4"/>
          </w:tcPr>
          <w:p>
            <w:pPr>
              <w:pStyle w:val="Compact"/>
              <w:jc w:val="left"/>
            </w:pPr>
            <w:r>
              <w:rPr>
                <w:bCs/>
                <w:b/>
              </w:rPr>
              <w:t xml:space="preserve">TOTAL ESTIMATED COST (MYR)</w:t>
            </w:r>
          </w:p>
        </w:tc>
        <w:tc>
          <w:tcPr/>
          <w:p>
            <w:pPr>
              <w:pStyle w:val="Compact"/>
              <w:jc w:val="left"/>
            </w:pPr>
            <w:r>
              <w:rPr>
                <w:bCs/>
                <w:b/>
              </w:rPr>
              <w:t xml:space="preserve">289,116.00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market conditions in</w:t>
      </w:r>
      <w:r>
        <w:t xml:space="preserve"> </w:t>
      </w:r>
      <w:r>
        <w:t xml:space="preserve">Malaysia Kuala Lumpur</w:t>
      </w:r>
      <w:r>
        <w:t xml:space="preserve">.</w:t>
      </w:r>
    </w:p>
    <w:p>
      <w:pPr>
        <w:numPr>
          <w:ilvl w:val="0"/>
          <w:numId w:val="1002"/>
        </w:numPr>
        <w:pStyle w:val="Compact"/>
      </w:pPr>
      <w:r>
        <w:t xml:space="preserve">The</w:t>
      </w:r>
      <w:r>
        <w:t xml:space="preserve"> </w:t>
      </w:r>
      <w:r>
        <w:t xml:space="preserve">Financial Analyst</w:t>
      </w:r>
      <w:r>
        <w:t xml:space="preserve"> </w:t>
      </w:r>
      <w:r>
        <w:t xml:space="preserve">shall be engaged on a full-time basis (five days per week, 40 hours per week) and shall report to the client's designated supervisor at the client's premises in</w:t>
      </w:r>
      <w:r>
        <w:t xml:space="preserve"> </w:t>
      </w:r>
      <w:r>
        <w:t xml:space="preserve">Malaysia Kuala Lumpur</w:t>
      </w:r>
      <w:r>
        <w:t xml:space="preserve"> </w:t>
      </w:r>
      <w:r>
        <w:t xml:space="preserve">or at a mutually agreed remote/hybrid arrangement.</w:t>
      </w:r>
    </w:p>
    <w:p>
      <w:pPr>
        <w:numPr>
          <w:ilvl w:val="0"/>
          <w:numId w:val="1002"/>
        </w:numPr>
        <w:pStyle w:val="Compact"/>
      </w:pPr>
      <w:r>
        <w:t xml:space="preserve">Payment terms: 50% of the total amount shall be due upon execution of the service agreement, and the remaining 50% shall be payable in equal monthly instalments over the twelve-month engagement period.</w:t>
      </w:r>
    </w:p>
    <w:p>
      <w:pPr>
        <w:numPr>
          <w:ilvl w:val="0"/>
          <w:numId w:val="1002"/>
        </w:numPr>
        <w:pStyle w:val="Compact"/>
      </w:pPr>
      <w:r>
        <w:t xml:space="preserve">All payments shall be made in Malaysian Ringgit (MYR) via bank transfer to the account designated by Apex Financial Advisory Sdn. Bhd. Late payments shall attract a penalty interest of 2% per month as per Malaysian commercial practice.</w:t>
      </w:r>
    </w:p>
    <w:p>
      <w:pPr>
        <w:numPr>
          <w:ilvl w:val="0"/>
          <w:numId w:val="1002"/>
        </w:numPr>
        <w:pStyle w:val="Compact"/>
      </w:pPr>
      <w:r>
        <w:t xml:space="preserve">The</w:t>
      </w:r>
      <w:r>
        <w:t xml:space="preserve"> </w:t>
      </w:r>
      <w:r>
        <w:t xml:space="preserve">Financial Analyst</w:t>
      </w:r>
      <w:r>
        <w:t xml:space="preserve"> </w:t>
      </w:r>
      <w:r>
        <w:t xml:space="preserve">shall be bound by a strict Non-Disclosure Agreement (NDA) and confidentiality clause covering all financial data, proprietary models, and client information encountered during the engagement in</w:t>
      </w:r>
      <w:r>
        <w:t xml:space="preserve"> </w:t>
      </w:r>
      <w:r>
        <w:t xml:space="preserve">Malaysia Kuala Lumpur</w:t>
      </w:r>
      <w:r>
        <w:t xml:space="preserve">.</w:t>
      </w:r>
    </w:p>
    <w:p>
      <w:pPr>
        <w:numPr>
          <w:ilvl w:val="0"/>
          <w:numId w:val="1002"/>
        </w:numPr>
        <w:pStyle w:val="Compact"/>
      </w:pPr>
      <w:r>
        <w:t xml:space="preserve">Any additional services, extended hours, or scope changes beyond those described in this</w:t>
      </w:r>
      <w:r>
        <w:t xml:space="preserve"> </w:t>
      </w:r>
      <w:r>
        <w:t xml:space="preserve">Quotation Estimate</w:t>
      </w:r>
      <w:r>
        <w:t xml:space="preserve"> </w:t>
      </w:r>
      <w:r>
        <w:t xml:space="preserve">shall be subject to a separate written amendment and additional charges at the prevailing hourly rate of MYR 350.00 per hour.</w:t>
      </w:r>
    </w:p>
    <w:p>
      <w:pPr>
        <w:numPr>
          <w:ilvl w:val="0"/>
          <w:numId w:val="1002"/>
        </w:numPr>
        <w:pStyle w:val="Compact"/>
      </w:pPr>
      <w:r>
        <w:t xml:space="preserve">This engagement is governed by the laws of Malaysia. Any disputes arising from this</w:t>
      </w:r>
      <w:r>
        <w:t xml:space="preserve"> </w:t>
      </w:r>
      <w:r>
        <w:t xml:space="preserve">Quotation Estimate</w:t>
      </w:r>
      <w:r>
        <w:t xml:space="preserve"> </w:t>
      </w:r>
      <w:r>
        <w:t xml:space="preserve">or the resulting service agreement shall be resolved through the courts of competent jurisdiction in</w:t>
      </w:r>
      <w:r>
        <w:t xml:space="preserve"> </w:t>
      </w:r>
      <w:r>
        <w:t xml:space="preserve">Malaysia Kuala Lumpur</w:t>
      </w:r>
      <w:r>
        <w:t xml:space="preserve">.</w:t>
      </w:r>
    </w:p>
    <w:p>
      <w:pPr>
        <w:numPr>
          <w:ilvl w:val="0"/>
          <w:numId w:val="1002"/>
        </w:numPr>
        <w:pStyle w:val="Compact"/>
      </w:pPr>
      <w:r>
        <w:t xml:space="preserve">Apex Financial Advisory Sdn. Bhd. reserves the right to substitute the</w:t>
      </w:r>
      <w:r>
        <w:t xml:space="preserve"> </w:t>
      </w:r>
      <w:r>
        <w:t xml:space="preserve">Financial Analyst</w:t>
      </w:r>
      <w:r>
        <w:t xml:space="preserve"> </w:t>
      </w:r>
      <w:r>
        <w:t xml:space="preserve">with a candidate of equivalent or superior qualifications should the original candidate be unable to continue, provided prior written notice of fourteen (14) days is given to the client.</w:t>
      </w:r>
    </w:p>
    <w:bookmarkEnd w:id="24"/>
    <w:bookmarkStart w:id="25" w:name="X2f87e882098816e883b2e8f1d62b5d1c03c43be"/>
    <w:p>
      <w:pPr>
        <w:pStyle w:val="Heading2"/>
      </w:pPr>
      <w:r>
        <w:t xml:space="preserve">5. Qualifications and Competencies of the Financial Analyst</w:t>
      </w:r>
    </w:p>
    <w:p>
      <w:pPr>
        <w:pStyle w:val="FirstParagraph"/>
      </w:pPr>
      <w:r>
        <w:t xml:space="preserve">The</w:t>
      </w:r>
      <w:r>
        <w:t xml:space="preserve"> </w:t>
      </w:r>
      <w:r>
        <w:t xml:space="preserve">Financial Analyst</w:t>
      </w:r>
      <w:r>
        <w:t xml:space="preserve"> </w:t>
      </w:r>
      <w:r>
        <w:t xml:space="preserve">proposed under this</w:t>
      </w:r>
      <w:r>
        <w:t xml:space="preserve"> </w:t>
      </w:r>
      <w:r>
        <w:t xml:space="preserve">Quotation Estimate</w:t>
      </w:r>
      <w:r>
        <w:t xml:space="preserve"> </w:t>
      </w:r>
      <w:r>
        <w:t xml:space="preserve">shall possess a minimum of a Bachelor's degree in Finance, Accounting, Economics, or a related discipline from a recognised institution. A professional qualification such as CFA, ACCA, or CPA (Malaysia) is strongly preferred. The candidate shall demonstrate a minimum of five (5) years of progressive experience in financial analysis, corporate finance, or investment analysis, with at least two (2) years of experience working within the</w:t>
      </w:r>
      <w:r>
        <w:t xml:space="preserve"> </w:t>
      </w:r>
      <w:r>
        <w:t xml:space="preserve">Malaysia Kuala Lumpur</w:t>
      </w:r>
      <w:r>
        <w:t xml:space="preserve"> </w:t>
      </w:r>
      <w:r>
        <w:t xml:space="preserve">financial services sector. Proficiency in advanced Excel, SQL, Python for data analytics, and at least one ERP system (SAP, Oracle, or Microsoft Dynamics) is mandatory. Fluency in Bahasa Malaysia and English is required to facilitate effective communication with local stakeholders, regulators, and international clients operating in</w:t>
      </w:r>
      <w:r>
        <w:t xml:space="preserve"> </w:t>
      </w:r>
      <w:r>
        <w:t xml:space="preserve">Malaysia Kuala Lumpur</w:t>
      </w:r>
      <w:r>
        <w:t xml:space="preserv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and cost items outlined above for the engagement of the</w:t>
      </w:r>
      <w:r>
        <w:t xml:space="preserve"> </w:t>
      </w:r>
      <w:r>
        <w:t xml:space="preserve">Financial Analyst</w:t>
      </w:r>
      <w:r>
        <w:t xml:space="preserve"> </w:t>
      </w:r>
      <w:r>
        <w:t xml:space="preserve">in</w:t>
      </w:r>
      <w:r>
        <w:t xml:space="preserve"> </w:t>
      </w:r>
      <w:r>
        <w:t xml:space="preserve">Malaysia Kuala Lumpur</w:t>
      </w:r>
      <w:r>
        <w:t xml:space="preserve">. This acceptance constitutes a binding agreement between the parties effective from the date of the last signature.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Apex Financial Advisory Sdn. Bhd.:</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(Ref: QTE-FLA-KL-2025-0147) is the property of Apex Financial Advisory Sdn. Bhd. and is issued exclusively for the intended recipient.</w:t>
      </w:r>
      <w:r>
        <w:t xml:space="preserve"> </w:t>
      </w:r>
      <w:r>
        <w:t xml:space="preserve">Reproduction or distribution without prior written consent is prohibited. All references to Malaysia Kuala Lumpur pertain to the Federal Territory of Kuala Lumpur and its immediate metropolitan area.</w:t>
      </w:r>
    </w:p>
    <w:p>
      <w:pPr>
        <w:pStyle w:val="BodyText"/>
      </w:pPr>
      <w:r>
        <w:t xml:space="preserve">© 2025 Apex Financial Advisory Sdn. Bhd.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Malaysia Kuala Lumpur</dc:title>
  <dc:creator/>
  <dc:language>en</dc:language>
  <cp:keywords/>
  <dcterms:created xsi:type="dcterms:W3CDTF">2026-10-10T03:47:25Z</dcterms:created>
  <dcterms:modified xsi:type="dcterms:W3CDTF">2026-10-10T03:47:25Z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