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t xml:space="preserve">Professional Financial Analyst Services</w:t>
      </w:r>
    </w:p>
    <w:p>
      <w:pPr>
        <w:pStyle w:val="BodyText"/>
      </w:pPr>
      <w:r>
        <w:t xml:space="preserve">Prepared for Clients in Morocco Casablanca</w:t>
      </w:r>
    </w:p>
    <w:p>
      <w:pPr>
        <w:pStyle w:val="BodyText"/>
      </w:pPr>
      <w:r>
        <w:t xml:space="preserve">Document Ref: QE-FA-2025-0847</w:t>
      </w:r>
    </w:p>
    <w:bookmarkEnd w:id="20"/>
    <w:p>
      <w:pPr>
        <w:pStyle w:val="BodyText"/>
      </w:pPr>
      <w:r>
        <w:rPr>
          <w:bCs/>
          <w:b/>
        </w:rPr>
        <w:t xml:space="preserve">Quotation Estimate Date: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Atlas Financial Consulting SARL</w:t>
      </w:r>
    </w:p>
    <w:p>
      <w:pPr>
        <w:pStyle w:val="BodyText"/>
      </w:pPr>
      <w:r>
        <w:rPr>
          <w:bCs/>
          <w:b/>
        </w:rPr>
        <w:t xml:space="preserve">Location:</w:t>
      </w:r>
      <w:r>
        <w:t xml:space="preserve"> </w:t>
      </w:r>
      <w:r>
        <w:t xml:space="preserve">Morocco Casablanca</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has been prepared by Atlas Financial Consulting SARL, a specialized advisory firm headquartered in</w:t>
      </w:r>
      <w:r>
        <w:t xml:space="preserve"> </w:t>
      </w:r>
      <w:r>
        <w:t xml:space="preserve">Morocco Casablanca</w:t>
      </w:r>
      <w:r>
        <w:t xml:space="preserve">, to provide a comprehensive and transparent cost breakdown for the engagement of a qualified</w:t>
      </w:r>
      <w:r>
        <w:t xml:space="preserve"> </w:t>
      </w:r>
      <w:r>
        <w:t xml:space="preserve">Financial Analyst</w:t>
      </w:r>
      <w:r>
        <w:t xml:space="preserve"> </w:t>
      </w:r>
      <w:r>
        <w:t xml:space="preserve">professional. This</w:t>
      </w:r>
      <w:r>
        <w:t xml:space="preserve"> </w:t>
      </w:r>
      <w:r>
        <w:t xml:space="preserve">Quotation Estimate</w:t>
      </w:r>
      <w:r>
        <w:t xml:space="preserve"> </w:t>
      </w:r>
      <w:r>
        <w:t xml:space="preserve">is issued in accordance with the commercial practices established in the Grand Casablanca-Settat region and complies with the regulatory framework governing professional services in the Kingdom of Morocco. The purpose of this document is to outline the scope of work, deliverables, fee structure, and applicable terms for the provision of</w:t>
      </w:r>
      <w:r>
        <w:t xml:space="preserve"> </w:t>
      </w:r>
      <w:r>
        <w:t xml:space="preserve">Financial Analyst</w:t>
      </w:r>
      <w:r>
        <w:t xml:space="preserve"> </w:t>
      </w:r>
      <w:r>
        <w:t xml:space="preserve">services tailored to the specific needs of our client operating within the</w:t>
      </w:r>
      <w:r>
        <w:t xml:space="preserve"> </w:t>
      </w:r>
      <w:r>
        <w:t xml:space="preserve">Morocco Casablanca</w:t>
      </w:r>
      <w:r>
        <w:t xml:space="preserve"> </w:t>
      </w:r>
      <w:r>
        <w:t xml:space="preserve">business environment.</w:t>
      </w:r>
    </w:p>
    <w:bookmarkEnd w:id="21"/>
    <w:bookmarkStart w:id="22" w:name="client-information"/>
    <w:p>
      <w:pPr>
        <w:pStyle w:val="Heading2"/>
      </w:pPr>
      <w:r>
        <w:t xml:space="preserve">2.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[Client Company Name] SARL</w:t>
            </w:r>
          </w:p>
        </w:tc>
      </w:tr>
      <w:tr>
        <w:tc>
          <w:tcPr/>
          <w:p>
            <w:pPr>
              <w:pStyle w:val="Compact"/>
              <w:jc w:val="left"/>
            </w:pPr>
            <w:r>
              <w:t xml:space="preserve">Registered Address</w:t>
            </w:r>
          </w:p>
        </w:tc>
        <w:tc>
          <w:tcPr/>
          <w:p>
            <w:pPr>
              <w:pStyle w:val="Compact"/>
              <w:jc w:val="left"/>
            </w:pPr>
            <w:r>
              <w:t xml:space="preserve">Tour Atlas, Boulevard Zerktouni, 20100 Morocco Casablanca</w:t>
            </w:r>
          </w:p>
        </w:tc>
      </w:tr>
      <w:tr>
        <w:tc>
          <w:tcPr/>
          <w:p>
            <w:pPr>
              <w:pStyle w:val="Compact"/>
              <w:jc w:val="left"/>
            </w:pPr>
            <w:r>
              <w:t xml:space="preserve">Industry Sector</w:t>
            </w:r>
          </w:p>
        </w:tc>
        <w:tc>
          <w:tcPr/>
          <w:p>
            <w:pPr>
              <w:pStyle w:val="Compact"/>
              <w:jc w:val="left"/>
            </w:pPr>
            <w:r>
              <w:t xml:space="preserve">Manufacturing and Industrial Services</w:t>
            </w:r>
          </w:p>
        </w:tc>
      </w:tr>
      <w:tr>
        <w:tc>
          <w:tcPr/>
          <w:p>
            <w:pPr>
              <w:pStyle w:val="Compact"/>
              <w:jc w:val="left"/>
            </w:pPr>
            <w:r>
              <w:t xml:space="preserve">Point of Contact</w:t>
            </w:r>
          </w:p>
        </w:tc>
        <w:tc>
          <w:tcPr/>
          <w:p>
            <w:pPr>
              <w:pStyle w:val="Compact"/>
              <w:jc w:val="left"/>
            </w:pPr>
            <w:r>
              <w:t xml:space="preserve">Chief Financial Officer</w:t>
            </w:r>
          </w:p>
        </w:tc>
      </w:tr>
      <w:tr>
        <w:tc>
          <w:tcPr/>
          <w:p>
            <w:pPr>
              <w:pStyle w:val="Compact"/>
              <w:jc w:val="left"/>
            </w:pPr>
            <w:r>
              <w:t xml:space="preserve">Service Location</w:t>
            </w:r>
          </w:p>
        </w:tc>
        <w:tc>
          <w:tcPr/>
          <w:p>
            <w:pPr>
              <w:pStyle w:val="Compact"/>
              <w:jc w:val="left"/>
            </w:pPr>
            <w:r>
              <w:t xml:space="preserve">Morocco Casablanca – On-site and Remote Hybrid</w:t>
            </w:r>
          </w:p>
        </w:tc>
      </w:tr>
    </w:tbl>
    <w:bookmarkEnd w:id="22"/>
    <w:bookmarkStart w:id="23" w:name="X0b6fe630a3fe4512e60812b41622f7f5ba8ba08"/>
    <w:p>
      <w:pPr>
        <w:pStyle w:val="Heading2"/>
      </w:pPr>
      <w:r>
        <w:t xml:space="preserve">3. Scope of Work – Financial Analyst Engagement</w:t>
      </w:r>
    </w:p>
    <w:p>
      <w:pPr>
        <w:pStyle w:val="FirstParagraph"/>
      </w:pPr>
      <w:r>
        <w:t xml:space="preserve">The</w:t>
      </w:r>
      <w:r>
        <w:t xml:space="preserve"> </w:t>
      </w:r>
      <w:r>
        <w:t xml:space="preserve">Financial Analyst</w:t>
      </w:r>
      <w:r>
        <w:t xml:space="preserve"> </w:t>
      </w:r>
      <w:r>
        <w:t xml:space="preserve">engaged under this</w:t>
      </w:r>
      <w:r>
        <w:t xml:space="preserve"> </w:t>
      </w:r>
      <w:r>
        <w:t xml:space="preserve">Quotation Estimate</w:t>
      </w:r>
      <w:r>
        <w:t xml:space="preserve"> </w:t>
      </w:r>
      <w:r>
        <w:t xml:space="preserve">will be responsible for delivering a full spectrum of analytical and advisory services to support the client's strategic financial decision-making in</w:t>
      </w:r>
      <w:r>
        <w:t xml:space="preserve"> </w:t>
      </w:r>
      <w:r>
        <w:t xml:space="preserve">Morocco Casablanca</w:t>
      </w:r>
      <w:r>
        <w:t xml:space="preserve">. The scope encompasses the following key areas:</w:t>
      </w:r>
    </w:p>
    <w:p>
      <w:pPr>
        <w:numPr>
          <w:ilvl w:val="0"/>
          <w:numId w:val="1001"/>
        </w:numPr>
        <w:pStyle w:val="Compact"/>
      </w:pPr>
      <w:r>
        <w:rPr>
          <w:bCs/>
          <w:b/>
        </w:rPr>
        <w:t xml:space="preserve">Financial Modelling and Forecasting:</w:t>
      </w:r>
      <w:r>
        <w:t xml:space="preserve"> </w:t>
      </w:r>
      <w:r>
        <w:t xml:space="preserve">Development and maintenance of dynamic financial models, including revenue projections, cost structures, and cash flow forecasts aligned with the Moroccan market conditions and the specific economic landscape of</w:t>
      </w:r>
      <w:r>
        <w:t xml:space="preserve"> </w:t>
      </w:r>
      <w:r>
        <w:t xml:space="preserve">Morocco Casablanca</w:t>
      </w:r>
      <w:r>
        <w:t xml:space="preserve">.</w:t>
      </w:r>
    </w:p>
    <w:p>
      <w:pPr>
        <w:numPr>
          <w:ilvl w:val="0"/>
          <w:numId w:val="1001"/>
        </w:numPr>
        <w:pStyle w:val="Compact"/>
      </w:pPr>
      <w:r>
        <w:rPr>
          <w:bCs/>
          <w:b/>
        </w:rPr>
        <w:t xml:space="preserve">Budgeting and Variance Analysis:</w:t>
      </w:r>
      <w:r>
        <w:t xml:space="preserve"> </w:t>
      </w:r>
      <w:r>
        <w:t xml:space="preserve">Preparation of annual and quarterly budgets, monthly variance reports, and performance dashboards to enable data-driven management decisions.</w:t>
      </w:r>
    </w:p>
    <w:p>
      <w:pPr>
        <w:numPr>
          <w:ilvl w:val="0"/>
          <w:numId w:val="1001"/>
        </w:numPr>
        <w:pStyle w:val="Compact"/>
      </w:pPr>
      <w:r>
        <w:rPr>
          <w:bCs/>
          <w:b/>
        </w:rPr>
        <w:t xml:space="preserve">Investment Appraisal:</w:t>
      </w:r>
      <w:r>
        <w:t xml:space="preserve"> </w:t>
      </w:r>
      <w:r>
        <w:t xml:space="preserve">Conducting discounted cash flow (DCF) analyses, net present value (NPV) calculations, and return on investment (ROI) assessments for capital expenditure projects and potential acquisitions within the Casablanca metropolitan area.</w:t>
      </w:r>
    </w:p>
    <w:p>
      <w:pPr>
        <w:numPr>
          <w:ilvl w:val="0"/>
          <w:numId w:val="1001"/>
        </w:numPr>
        <w:pStyle w:val="Compact"/>
      </w:pPr>
      <w:r>
        <w:rPr>
          <w:bCs/>
          <w:b/>
        </w:rPr>
        <w:t xml:space="preserve">Regulatory and Tax Compliance Analysis:</w:t>
      </w:r>
      <w:r>
        <w:t xml:space="preserve"> </w:t>
      </w:r>
      <w:r>
        <w:t xml:space="preserve">Ensuring all financial reporting and analytical outputs comply with Moroccan accounting standards (PCG), tax regulations administered by the Direction Générale des Impôts, and the requirements of the Autorité des Marchés Financiers (AMF) where applicable.</w:t>
      </w:r>
    </w:p>
    <w:p>
      <w:pPr>
        <w:numPr>
          <w:ilvl w:val="0"/>
          <w:numId w:val="1001"/>
        </w:numPr>
        <w:pStyle w:val="Compact"/>
      </w:pPr>
      <w:r>
        <w:rPr>
          <w:bCs/>
          <w:b/>
        </w:rPr>
        <w:t xml:space="preserve">Stakeholder Reporting:</w:t>
      </w:r>
      <w:r>
        <w:t xml:space="preserve"> </w:t>
      </w:r>
      <w:r>
        <w:t xml:space="preserve">Preparation of board-level presentations, investor reports, and regulatory filings in both French and English to accommodate the multilingual business environment of</w:t>
      </w:r>
      <w:r>
        <w:t xml:space="preserve"> </w:t>
      </w:r>
      <w:r>
        <w:t xml:space="preserve">Morocco Casablanca</w:t>
      </w:r>
      <w:r>
        <w:t xml:space="preserve">.</w:t>
      </w:r>
    </w:p>
    <w:p>
      <w:pPr>
        <w:numPr>
          <w:ilvl w:val="0"/>
          <w:numId w:val="1001"/>
        </w:numPr>
        <w:pStyle w:val="Compact"/>
      </w:pPr>
      <w:r>
        <w:rPr>
          <w:bCs/>
          <w:b/>
        </w:rPr>
        <w:t xml:space="preserve">Ad-hoc Analytical Support:</w:t>
      </w:r>
      <w:r>
        <w:t xml:space="preserve"> </w:t>
      </w:r>
      <w:r>
        <w:t xml:space="preserve">Provision of specialized</w:t>
      </w:r>
      <w:r>
        <w:t xml:space="preserve"> </w:t>
      </w:r>
      <w:r>
        <w:t xml:space="preserve">Financial Analyst</w:t>
      </w:r>
      <w:r>
        <w:t xml:space="preserve"> </w:t>
      </w:r>
      <w:r>
        <w:t xml:space="preserve">expertise for mergers and acquisitions due diligence, restructuring scenarios, and competitive benchmarking against regional peers in North Africa.</w:t>
      </w:r>
    </w:p>
    <w:bookmarkEnd w:id="23"/>
    <w:bookmarkStart w:id="24" w:name="X58a868a4d614f42bac114bedeebf25caa554ab6"/>
    <w:p>
      <w:pPr>
        <w:pStyle w:val="Heading2"/>
      </w:pPr>
      <w:r>
        <w:t xml:space="preserve">4. Fee Structure and Pricing –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(MAD)</w:t>
            </w:r>
          </w:p>
        </w:tc>
        <w:tc>
          <w:tcPr/>
          <w:p>
            <w:pPr>
              <w:pStyle w:val="Compact"/>
              <w:jc w:val="left"/>
            </w:pPr>
            <w:r>
              <w:t xml:space="preserve">Amount (MAD)</w:t>
            </w:r>
          </w:p>
        </w:tc>
      </w:tr>
      <w:tr>
        <w:tc>
          <w:tcPr/>
          <w:p>
            <w:pPr>
              <w:pStyle w:val="Compact"/>
              <w:jc w:val="left"/>
            </w:pPr>
            <w:r>
              <w:t xml:space="preserve">01</w:t>
            </w:r>
          </w:p>
        </w:tc>
        <w:tc>
          <w:tcPr/>
          <w:p>
            <w:pPr>
              <w:pStyle w:val="Compact"/>
              <w:jc w:val="left"/>
            </w:pPr>
            <w:r>
              <w:t xml:space="preserve">Financial Analyst – Senior (15+ years experience) – Monthly Retainer</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Financial Analyst – Associate (5–8 years experience) – Monthly Retainer</w:t>
            </w:r>
          </w:p>
        </w:tc>
        <w:tc>
          <w:tcPr/>
          <w:p>
            <w:pPr>
              <w:pStyle w:val="Compact"/>
              <w:jc w:val="left"/>
            </w:pPr>
            <w:r>
              <w:t xml:space="preserve">12 months</w:t>
            </w:r>
          </w:p>
        </w:tc>
        <w:tc>
          <w:tcPr/>
          <w:p>
            <w:pPr>
              <w:pStyle w:val="Compact"/>
              <w:jc w:val="left"/>
            </w:pPr>
            <w:r>
              <w:t xml:space="preserve">28,000</w:t>
            </w:r>
          </w:p>
        </w:tc>
        <w:tc>
          <w:tcPr/>
          <w:p>
            <w:pPr>
              <w:pStyle w:val="Compact"/>
              <w:jc w:val="left"/>
            </w:pPr>
            <w:r>
              <w:t xml:space="preserve">336,000</w:t>
            </w:r>
          </w:p>
        </w:tc>
      </w:tr>
      <w:tr>
        <w:tc>
          <w:tcPr/>
          <w:p>
            <w:pPr>
              <w:pStyle w:val="Compact"/>
              <w:jc w:val="left"/>
            </w:pPr>
            <w:r>
              <w:t xml:space="preserve">03</w:t>
            </w:r>
          </w:p>
        </w:tc>
        <w:tc>
          <w:tcPr/>
          <w:p>
            <w:pPr>
              <w:pStyle w:val="Compact"/>
              <w:jc w:val="left"/>
            </w:pPr>
            <w:r>
              <w:t xml:space="preserve">Initial Financial Modelling and Forecasting Setup</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85,000</w:t>
            </w:r>
          </w:p>
        </w:tc>
      </w:tr>
      <w:tr>
        <w:tc>
          <w:tcPr/>
          <w:p>
            <w:pPr>
              <w:pStyle w:val="Compact"/>
              <w:jc w:val="left"/>
            </w:pPr>
            <w:r>
              <w:t xml:space="preserve">04</w:t>
            </w:r>
          </w:p>
        </w:tc>
        <w:tc>
          <w:tcPr/>
          <w:p>
            <w:pPr>
              <w:pStyle w:val="Compact"/>
              <w:jc w:val="left"/>
            </w:pPr>
            <w:r>
              <w:t xml:space="preserve">Investment Appraisal and M&amp;A Due Diligence Support</w:t>
            </w:r>
          </w:p>
        </w:tc>
        <w:tc>
          <w:tcPr/>
          <w:p>
            <w:pPr>
              <w:pStyle w:val="Compact"/>
              <w:jc w:val="left"/>
            </w:pPr>
            <w:r>
              <w:t xml:space="preserve">Per engagement</w:t>
            </w:r>
          </w:p>
        </w:tc>
        <w:tc>
          <w:tcPr/>
          <w:p>
            <w:pPr>
              <w:pStyle w:val="Compact"/>
              <w:jc w:val="left"/>
            </w:pPr>
            <w:r>
              <w:t xml:space="preserve">—</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Quarterly Board Reporting and Presentation Packages</w:t>
            </w:r>
          </w:p>
        </w:tc>
        <w:tc>
          <w:tcPr/>
          <w:p>
            <w:pPr>
              <w:pStyle w:val="Compact"/>
              <w:jc w:val="left"/>
            </w:pPr>
            <w:r>
              <w:t xml:space="preserve">4 quarters</w:t>
            </w:r>
          </w:p>
        </w:tc>
        <w:tc>
          <w:tcPr/>
          <w:p>
            <w:pPr>
              <w:pStyle w:val="Compact"/>
              <w:jc w:val="left"/>
            </w:pPr>
            <w:r>
              <w:t xml:space="preserve">15,000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Regulatory Compliance Review (AMF / DGI / Bank Al-Maghrib)</w:t>
            </w:r>
          </w:p>
        </w:tc>
        <w:tc>
          <w:tcPr/>
          <w:p>
            <w:pPr>
              <w:pStyle w:val="Compact"/>
              <w:jc w:val="left"/>
            </w:pPr>
            <w:r>
              <w:t xml:space="preserve">Annual</w:t>
            </w:r>
          </w:p>
        </w:tc>
        <w:tc>
          <w:tcPr/>
          <w:p>
            <w:pPr>
              <w:pStyle w:val="Compact"/>
              <w:jc w:val="left"/>
            </w:pPr>
            <w:r>
              <w:t xml:space="preserve">—</w:t>
            </w:r>
          </w:p>
        </w:tc>
        <w:tc>
          <w:tcPr/>
          <w:p>
            <w:pPr>
              <w:pStyle w:val="Compact"/>
              <w:jc w:val="left"/>
            </w:pPr>
            <w:r>
              <w:t xml:space="preserve">45,000</w:t>
            </w:r>
          </w:p>
        </w:tc>
      </w:tr>
      <w:tr>
        <w:tc>
          <w:tcPr/>
          <w:p>
            <w:pPr>
              <w:pStyle w:val="Compact"/>
              <w:jc w:val="left"/>
            </w:pPr>
            <w:r>
              <w:t xml:space="preserve">07</w:t>
            </w:r>
          </w:p>
        </w:tc>
        <w:tc>
          <w:tcPr/>
          <w:p>
            <w:pPr>
              <w:pStyle w:val="Compact"/>
              <w:jc w:val="left"/>
            </w:pPr>
            <w:r>
              <w:t xml:space="preserve">Travel and On-site Presence in Morocco Casablanca (Boulevard Zerktouni / Anfa district)</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12,000</w:t>
            </w:r>
          </w:p>
        </w:tc>
      </w:tr>
      <w:tr>
        <w:tc>
          <w:tcPr>
            <w:gridSpan w:val="4"/>
          </w:tcPr>
          <w:p>
            <w:pPr>
              <w:pStyle w:val="Compact"/>
              <w:jc w:val="left"/>
            </w:pPr>
            <w:r>
              <w:t xml:space="preserve">Subtotal (MAD)</w:t>
            </w:r>
          </w:p>
        </w:tc>
        <w:tc>
          <w:tcPr/>
          <w:p>
            <w:pPr>
              <w:pStyle w:val="Compact"/>
              <w:jc w:val="left"/>
            </w:pPr>
            <w:r>
              <w:t xml:space="preserve">1,198,000</w:t>
            </w:r>
          </w:p>
        </w:tc>
      </w:tr>
      <w:tr>
        <w:tc>
          <w:tcPr>
            <w:gridSpan w:val="4"/>
          </w:tcPr>
          <w:p>
            <w:pPr>
              <w:pStyle w:val="Compact"/>
              <w:jc w:val="left"/>
            </w:pPr>
            <w:r>
              <w:t xml:space="preserve">VAT (20% – Moroccan Tax Code)</w:t>
            </w:r>
          </w:p>
        </w:tc>
        <w:tc>
          <w:tcPr/>
          <w:p>
            <w:pPr>
              <w:pStyle w:val="Compact"/>
              <w:jc w:val="left"/>
            </w:pPr>
            <w:r>
              <w:t xml:space="preserve">239,600</w:t>
            </w:r>
          </w:p>
        </w:tc>
      </w:tr>
      <w:tr>
        <w:tc>
          <w:tcPr>
            <w:gridSpan w:val="4"/>
          </w:tcPr>
          <w:p>
            <w:pPr>
              <w:pStyle w:val="Compact"/>
              <w:jc w:val="left"/>
            </w:pPr>
            <w:r>
              <w:t xml:space="preserve">TOTAL ESTIMATED COST (MAD)</w:t>
            </w:r>
          </w:p>
        </w:tc>
        <w:tc>
          <w:tcPr/>
          <w:p>
            <w:pPr>
              <w:pStyle w:val="Compact"/>
              <w:jc w:val="left"/>
            </w:pPr>
            <w:r>
              <w:t xml:space="preserve">1,437,600</w:t>
            </w:r>
          </w:p>
        </w:tc>
      </w:tr>
      <w:tr>
        <w:tc>
          <w:tcPr>
            <w:gridSpan w:val="4"/>
          </w:tcPr>
          <w:p>
            <w:pPr>
              <w:pStyle w:val="Compact"/>
              <w:jc w:val="left"/>
            </w:pPr>
            <w:r>
              <w:t xml:space="preserve">TOTAL ESTIMATED COST (EUR – approx. at 1 EUR = 10.85 MAD)</w:t>
            </w:r>
          </w:p>
        </w:tc>
        <w:tc>
          <w:tcPr/>
          <w:p>
            <w:pPr>
              <w:pStyle w:val="Compact"/>
              <w:jc w:val="left"/>
            </w:pPr>
            <w:r>
              <w:t xml:space="preserve">132,498</w:t>
            </w:r>
          </w:p>
        </w:tc>
      </w:tr>
    </w:tbl>
    <w:bookmarkEnd w:id="24"/>
    <w:bookmarkStart w:id="25" w:name="payment-terms-and-conditions"/>
    <w:p>
      <w:pPr>
        <w:pStyle w:val="Heading2"/>
      </w:pPr>
      <w:r>
        <w:t xml:space="preserve">5. Payment Terms and Conditions</w:t>
      </w:r>
    </w:p>
    <w:p>
      <w:pPr>
        <w:pStyle w:val="FirstParagraph"/>
      </w:pPr>
      <w:r>
        <w:t xml:space="preserve">This</w:t>
      </w:r>
      <w:r>
        <w:t xml:space="preserve"> </w:t>
      </w:r>
      <w:r>
        <w:t xml:space="preserve">Quotation Estimate</w:t>
      </w:r>
      <w:r>
        <w:t xml:space="preserve"> </w:t>
      </w:r>
      <w:r>
        <w:t xml:space="preserve">for</w:t>
      </w:r>
      <w:r>
        <w:t xml:space="preserve"> </w:t>
      </w:r>
      <w:r>
        <w:t xml:space="preserve">Financial Analyst</w:t>
      </w:r>
      <w:r>
        <w:t xml:space="preserve"> </w:t>
      </w:r>
      <w:r>
        <w:t xml:space="preserve">services in</w:t>
      </w:r>
      <w:r>
        <w:t xml:space="preserve"> </w:t>
      </w:r>
      <w:r>
        <w:t xml:space="preserve">Morocco Casablanca</w:t>
      </w:r>
      <w:r>
        <w:t xml:space="preserve"> </w:t>
      </w:r>
      <w:r>
        <w:t xml:space="preserve">is subject to the following payment conditions:</w:t>
      </w:r>
    </w:p>
    <w:p>
      <w:pPr>
        <w:numPr>
          <w:ilvl w:val="0"/>
          <w:numId w:val="1002"/>
        </w:numPr>
        <w:pStyle w:val="Compact"/>
      </w:pPr>
      <w:r>
        <w:t xml:space="preserve">Monthly retainer fees (Items 01, 02, and 07) shall be invoiced on the 1st of each month and are payable within 30 days of invoice date via bank transfer to the firm's account at Attijariwafa Bank, Casablanca branch.</w:t>
      </w:r>
    </w:p>
    <w:p>
      <w:pPr>
        <w:numPr>
          <w:ilvl w:val="0"/>
          <w:numId w:val="1002"/>
        </w:numPr>
        <w:pStyle w:val="Compact"/>
      </w:pPr>
      <w:r>
        <w:t xml:space="preserve">One-time and per-engagement fees (Items 03, 04, 05, and 06) shall be invoiced upon completion of the respective deliverable, with payment due within 15 business days.</w:t>
      </w:r>
    </w:p>
    <w:p>
      <w:pPr>
        <w:numPr>
          <w:ilvl w:val="0"/>
          <w:numId w:val="1002"/>
        </w:numPr>
        <w:pStyle w:val="Compact"/>
      </w:pPr>
      <w:r>
        <w:t xml:space="preserve">A 10% advance payment is required upon acceptance of this</w:t>
      </w:r>
      <w:r>
        <w:t xml:space="preserve"> </w:t>
      </w:r>
      <w:r>
        <w:t xml:space="preserve">Quotation Estimate</w:t>
      </w:r>
      <w:r>
        <w:t xml:space="preserve"> </w:t>
      </w:r>
      <w:r>
        <w:t xml:space="preserve">to secure the</w:t>
      </w:r>
      <w:r>
        <w:t xml:space="preserve"> </w:t>
      </w:r>
      <w:r>
        <w:t xml:space="preserve">Financial Analyst</w:t>
      </w:r>
      <w:r>
        <w:t xml:space="preserve"> </w:t>
      </w:r>
      <w:r>
        <w:t xml:space="preserve">team's availability.</w:t>
      </w:r>
    </w:p>
    <w:p>
      <w:pPr>
        <w:numPr>
          <w:ilvl w:val="0"/>
          <w:numId w:val="1002"/>
        </w:numPr>
        <w:pStyle w:val="Compact"/>
      </w:pPr>
      <w:r>
        <w:t xml:space="preserve">Late payments shall incur a penalty of 1.5% per month in accordance with Moroccan commercial law (Code de Commerce, Article L. 441-10).</w:t>
      </w:r>
    </w:p>
    <w:p>
      <w:pPr>
        <w:numPr>
          <w:ilvl w:val="0"/>
          <w:numId w:val="1002"/>
        </w:numPr>
        <w:pStyle w:val="Compact"/>
      </w:pPr>
      <w:r>
        <w:t xml:space="preserve">All fees are quoted in Moroccan Dirhams (MAD) and are inclusive of the</w:t>
      </w:r>
      <w:r>
        <w:t xml:space="preserve"> </w:t>
      </w:r>
      <w:r>
        <w:t xml:space="preserve">Financial Analyst</w:t>
      </w:r>
      <w:r>
        <w:t xml:space="preserve"> </w:t>
      </w:r>
      <w:r>
        <w:t xml:space="preserve">professional's time, expertise, and standard software tools. Additional costs for specialized software licenses or third-party data subscriptions will be quoted separately.</w:t>
      </w:r>
    </w:p>
    <w:bookmarkEnd w:id="25"/>
    <w:bookmarkStart w:id="26" w:name="validity-and-acceptance"/>
    <w:p>
      <w:pPr>
        <w:pStyle w:val="Heading2"/>
      </w:pPr>
      <w:r>
        <w:t xml:space="preserve">6. Validity and Acceptance</w:t>
      </w:r>
    </w:p>
    <w:p>
      <w:pPr>
        <w:pStyle w:val="FirstParagraph"/>
      </w:pPr>
      <w:r>
        <w:t xml:space="preserve">This</w:t>
      </w:r>
      <w:r>
        <w:t xml:space="preserve"> </w:t>
      </w:r>
      <w:r>
        <w:t xml:space="preserve">Quotation Estimate</w:t>
      </w:r>
      <w:r>
        <w:t xml:space="preserve"> </w:t>
      </w:r>
      <w:r>
        <w:t xml:space="preserve">is valid for a period of thirty (30) calendar days from the date of issue. Upon written acceptance by the client, this document shall constitute a binding service agreement for the provision of</w:t>
      </w:r>
      <w:r>
        <w:t xml:space="preserve"> </w:t>
      </w:r>
      <w:r>
        <w:t xml:space="preserve">Financial Analyst</w:t>
      </w:r>
      <w:r>
        <w:t xml:space="preserve"> </w:t>
      </w:r>
      <w:r>
        <w:t xml:space="preserve">services in</w:t>
      </w:r>
      <w:r>
        <w:t xml:space="preserve"> </w:t>
      </w:r>
      <w:r>
        <w:t xml:space="preserve">Morocco Casablanca</w:t>
      </w:r>
      <w:r>
        <w:t xml:space="preserve">. Any modifications to the scope of work, duration, or fee structure must be documented in a formal amendment signed by both parties. This</w:t>
      </w:r>
      <w:r>
        <w:t xml:space="preserve"> </w:t>
      </w:r>
      <w:r>
        <w:t xml:space="preserve">Quotation Estimate</w:t>
      </w:r>
      <w:r>
        <w:t xml:space="preserve"> </w:t>
      </w:r>
      <w:r>
        <w:t xml:space="preserve">does not constitute a guarantee of specific financial outcomes; rather, it represents a professional estimate of the costs associated with delivering the described</w:t>
      </w:r>
      <w:r>
        <w:t xml:space="preserve"> </w:t>
      </w:r>
      <w:r>
        <w:t xml:space="preserve">Financial Analyst</w:t>
      </w:r>
      <w:r>
        <w:t xml:space="preserve"> </w:t>
      </w:r>
      <w:r>
        <w:t xml:space="preserve">services.</w:t>
      </w:r>
    </w:p>
    <w:bookmarkEnd w:id="26"/>
    <w:bookmarkStart w:id="27" w:name="confidentiality-and-data-protection"/>
    <w:p>
      <w:pPr>
        <w:pStyle w:val="Heading2"/>
      </w:pPr>
      <w:r>
        <w:t xml:space="preserve">7. Confidentiality and Data Protection</w:t>
      </w:r>
    </w:p>
    <w:p>
      <w:pPr>
        <w:pStyle w:val="FirstParagraph"/>
      </w:pPr>
      <w:r>
        <w:t xml:space="preserve">All financial data, proprietary information, and analytical outputs generated during the engagement of the</w:t>
      </w:r>
      <w:r>
        <w:t xml:space="preserve"> </w:t>
      </w:r>
      <w:r>
        <w:t xml:space="preserve">Financial Analyst</w:t>
      </w:r>
      <w:r>
        <w:t xml:space="preserve"> </w:t>
      </w:r>
      <w:r>
        <w:t xml:space="preserve">team shall be treated as strictly confidential. Atlas Financial Consulting SARL commits to full compliance with the Moroccan Law 09-08 on the Protection of Personal Data and the data protection regulations applicable in</w:t>
      </w:r>
      <w:r>
        <w:t xml:space="preserve"> </w:t>
      </w:r>
      <w:r>
        <w:t xml:space="preserve">Morocco Casablanca</w:t>
      </w:r>
      <w:r>
        <w:t xml:space="preserve">. No client information shall be disclosed to third parties without prior written consent, except where required by Moroccan law or regulatory authorities.</w:t>
      </w:r>
    </w:p>
    <w:bookmarkEnd w:id="27"/>
    <w:bookmarkStart w:id="28" w:name="governing-law-and-dispute-resolution"/>
    <w:p>
      <w:pPr>
        <w:pStyle w:val="Heading2"/>
      </w:pPr>
      <w:r>
        <w:t xml:space="preserve">8. Governing Law and Dispute Resolution</w:t>
      </w:r>
    </w:p>
    <w:p>
      <w:pPr>
        <w:pStyle w:val="FirstParagraph"/>
      </w:pPr>
      <w:r>
        <w:t xml:space="preserve">This</w:t>
      </w:r>
      <w:r>
        <w:t xml:space="preserve"> </w:t>
      </w:r>
      <w:r>
        <w:t xml:space="preserve">Quotation Estimate</w:t>
      </w:r>
      <w:r>
        <w:t xml:space="preserve"> </w:t>
      </w:r>
      <w:r>
        <w:t xml:space="preserve">and any resulting service agreement shall be governed by and construed in accordance with the laws of the Kingdom of Morocco. Any disputes arising from the interpretation or execution of this document shall be resolved amicably. In the absence of an amicable resolution within sixty (60) days, the matter shall be submitted to the competent commercial courts of</w:t>
      </w:r>
      <w:r>
        <w:t xml:space="preserve"> </w:t>
      </w:r>
      <w:r>
        <w:t xml:space="preserve">Morocco Casablanca</w:t>
      </w:r>
      <w:r>
        <w:t xml:space="preserve"> </w:t>
      </w:r>
      <w:r>
        <w:t xml:space="preserve">(Tribunal de Commerce de Casablanca).</w:t>
      </w:r>
    </w:p>
    <w:p>
      <w:pPr>
        <w:pStyle w:val="BodyText"/>
      </w:pPr>
      <w:r>
        <w:rPr>
          <w:bCs/>
          <w:b/>
        </w:rPr>
        <w:t xml:space="preserve">For Atlas Financial Consulting SARL</w:t>
      </w:r>
      <w:r>
        <w:br/>
      </w:r>
      <w:r>
        <w:t xml:space="preserve">Authorized Signatory</w:t>
      </w:r>
      <w:r>
        <w:br/>
      </w:r>
      <w:r>
        <w:t xml:space="preserve">Morocco Casablanca</w:t>
      </w:r>
    </w:p>
    <w:p>
      <w:pPr>
        <w:pStyle w:val="BodyText"/>
      </w:pPr>
      <w:r>
        <w:rPr>
          <w:bCs/>
          <w:b/>
        </w:rPr>
        <w:t xml:space="preserve">For the Client</w:t>
      </w:r>
      <w:r>
        <w:br/>
      </w:r>
      <w:r>
        <w:t xml:space="preserve">Authorized Signatory</w:t>
      </w:r>
      <w:r>
        <w:br/>
      </w:r>
      <w:r>
        <w:t xml:space="preserve">Morocco Casablanca</w:t>
      </w:r>
    </w:p>
    <w:p>
      <w:pPr>
        <w:pStyle w:val="BodyText"/>
      </w:pPr>
      <w:r>
        <w:t xml:space="preserve">Atlas Financial Consulting SARL | Tour Oryx, 12 Boulevard d'Anfa, 20100 Morocco Casablanca | RC: 458721 | ICE: 002345678000091</w:t>
      </w:r>
    </w:p>
    <w:p>
      <w:pPr>
        <w:pStyle w:val="BodyText"/>
      </w:pPr>
      <w:r>
        <w:t xml:space="preserve">Tel: +212 522-XX-XX-XX | Email: quotations@atlasfinancial.ma</w:t>
      </w:r>
    </w:p>
    <w:p>
      <w:pPr>
        <w:pStyle w:val="BodyText"/>
      </w:pPr>
      <w:r>
        <w:t xml:space="preserve">This Quotation Estimate document is the property of Atlas Financial Consulting SARL. Unauthorized reproduction or distribution is prohibited.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 Morocco Casablanca</dc:title>
  <dc:creator/>
  <dc:language>en</dc:language>
  <cp:keywords/>
  <dcterms:created xsi:type="dcterms:W3CDTF">2026-10-10T06:28:14Z</dcterms:created>
  <dcterms:modified xsi:type="dcterms:W3CDTF">2026-10-10T06:28:14Z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