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Financial</w:t>
      </w:r>
      <w:r>
        <w:t xml:space="preserve"> </w:t>
      </w:r>
      <w:r>
        <w:t xml:space="preserve">Analyst</w:t>
      </w:r>
      <w:r>
        <w:t xml:space="preserve"> </w:t>
      </w:r>
      <w:r>
        <w:t xml:space="preserve">-</w:t>
      </w:r>
      <w:r>
        <w:t xml:space="preserve"> </w:t>
      </w:r>
      <w:r>
        <w:t xml:space="preserve">Netherlands</w:t>
      </w:r>
      <w:r>
        <w:t xml:space="preserve"> </w:t>
      </w:r>
      <w:r>
        <w:t xml:space="preserve">Amsterdam</w:t>
      </w:r>
    </w:p>
    <w:bookmarkStart w:id="20" w:name="quotation-estimate"/>
    <w:p>
      <w:pPr>
        <w:pStyle w:val="Heading1"/>
      </w:pPr>
      <w:r>
        <w:t xml:space="preserve">QUOTATION ESTIMATE</w:t>
      </w:r>
    </w:p>
    <w:p>
      <w:pPr>
        <w:pStyle w:val="FirstParagraph"/>
      </w:pPr>
      <w:r>
        <w:t xml:space="preserve">Professional Financial Analyst Services — Netherlands Amsterdam</w:t>
      </w:r>
    </w:p>
    <w:p>
      <w:pPr>
        <w:pStyle w:val="BodyText"/>
      </w:pPr>
      <w:r>
        <w:t xml:space="preserve">Document Reference: QE-FA-2025-0472 | Validity: 30 Calendar Days</w:t>
      </w:r>
    </w:p>
    <w:bookmarkEnd w:id="20"/>
    <w:p>
      <w:pPr>
        <w:pStyle w:val="BodyText"/>
      </w:pPr>
      <w:r>
        <w:rPr>
          <w:bCs/>
          <w:b/>
        </w:rPr>
        <w:t xml:space="preserve">Prepared By:</w:t>
      </w:r>
      <w:r>
        <w:br/>
      </w:r>
      <w:r>
        <w:t xml:space="preserve">Meridian Advisory Group B.V.</w:t>
      </w:r>
      <w:r>
        <w:br/>
      </w:r>
      <w:r>
        <w:t xml:space="preserve">Herengracht 420, 1017 CA</w:t>
      </w:r>
      <w:r>
        <w:br/>
      </w:r>
      <w:r>
        <w:t xml:space="preserve">Amsterdam, Netherlands</w:t>
      </w:r>
      <w:r>
        <w:br/>
      </w:r>
      <w:r>
        <w:t xml:space="preserve">KVK: 87654321</w:t>
      </w:r>
    </w:p>
    <w:p>
      <w:pPr>
        <w:pStyle w:val="BodyText"/>
      </w:pPr>
      <w:r>
        <w:rPr>
          <w:bCs/>
          <w:b/>
        </w:rPr>
        <w:t xml:space="preserve">Prepared For:</w:t>
      </w:r>
      <w:r>
        <w:br/>
      </w:r>
      <w:r>
        <w:t xml:space="preserve">[Client Company Name]</w:t>
      </w:r>
      <w:r>
        <w:br/>
      </w:r>
      <w:r>
        <w:t xml:space="preserve">[Client Address]</w:t>
      </w:r>
      <w:r>
        <w:br/>
      </w:r>
      <w:r>
        <w:t xml:space="preserve">Amsterdam, Netherlands</w:t>
      </w:r>
      <w:r>
        <w:br/>
      </w:r>
      <w:r>
        <w:t xml:space="preserve">VAT: NL000000000B00</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Meridian Advisory Group B.V. to provide a comprehensive and transparent financial breakdown for the engagement of a dedicated</w:t>
      </w:r>
      <w:r>
        <w:t xml:space="preserve"> </w:t>
      </w:r>
      <w:r>
        <w:t xml:space="preserve">Financial Analyst</w:t>
      </w:r>
      <w:r>
        <w:t xml:space="preserve"> </w:t>
      </w:r>
      <w:r>
        <w:t xml:space="preserve">to support the client's operations within the</w:t>
      </w:r>
      <w:r>
        <w:t xml:space="preserve"> </w:t>
      </w:r>
      <w:r>
        <w:t xml:space="preserve">Netherlands Amsterdam</w:t>
      </w:r>
      <w:r>
        <w:t xml:space="preserve"> </w:t>
      </w:r>
      <w:r>
        <w:t xml:space="preserve">business environment. This document outlines the scope of services, deliverables, associated costs, and contractual terms governing the proposed engagement. The</w:t>
      </w:r>
      <w:r>
        <w:t xml:space="preserve"> </w:t>
      </w:r>
      <w:r>
        <w:t xml:space="preserve">Quotation Estimate</w:t>
      </w:r>
      <w:r>
        <w:t xml:space="preserve"> </w:t>
      </w:r>
      <w:r>
        <w:t xml:space="preserve">reflects current market rates applicable to the Amsterdam professional services sector as of the date of issue.</w:t>
      </w:r>
    </w:p>
    <w:bookmarkEnd w:id="21"/>
    <w:bookmarkStart w:id="22" w:name="Xc71ca9f107dc19ad1a35be8656fe3f8577b2b82"/>
    <w:p>
      <w:pPr>
        <w:pStyle w:val="Heading2"/>
      </w:pPr>
      <w:r>
        <w:t xml:space="preserve">2. Scope of Services — Financial Analyst Engagement</w:t>
      </w:r>
    </w:p>
    <w:p>
      <w:pPr>
        <w:pStyle w:val="FirstParagraph"/>
      </w:pPr>
      <w:r>
        <w:t xml:space="preserve">The proposed</w:t>
      </w:r>
      <w:r>
        <w:t xml:space="preserve"> </w:t>
      </w:r>
      <w:r>
        <w:t xml:space="preserve">Financial Analyst</w:t>
      </w:r>
      <w:r>
        <w:t xml:space="preserve"> </w:t>
      </w:r>
      <w:r>
        <w:t xml:space="preserve">will be embedded within the client's finance department and will perform the following core responsibilities tailored to the operational context of</w:t>
      </w:r>
      <w:r>
        <w:t xml:space="preserve"> </w:t>
      </w:r>
      <w:r>
        <w:t xml:space="preserve">Netherlands Amsterdam</w:t>
      </w:r>
      <w:r>
        <w:t xml:space="preserve">:</w:t>
      </w:r>
    </w:p>
    <w:p>
      <w:pPr>
        <w:pStyle w:val="BodyText"/>
      </w:pPr>
      <w:r>
        <w:rPr>
          <w:bCs/>
          <w:b/>
        </w:rPr>
        <w:t xml:space="preserve">2.1 Financial Modelling &amp; Forecasting:</w:t>
      </w:r>
      <w:r>
        <w:t xml:space="preserve"> </w:t>
      </w:r>
      <w:r>
        <w:t xml:space="preserve">Development and maintenance of multi-year financial models, revenue projections, and cash flow forecasts aligned with Dutch GAAP and IFRS reporting standards. The</w:t>
      </w:r>
      <w:r>
        <w:t xml:space="preserve"> </w:t>
      </w:r>
      <w:r>
        <w:t xml:space="preserve">Financial Analyst</w:t>
      </w:r>
      <w:r>
        <w:t xml:space="preserve"> </w:t>
      </w:r>
      <w:r>
        <w:t xml:space="preserve">will produce quarterly and annual forecasts incorporating local economic indicators specific to the Amsterdam metropolitan region.</w:t>
      </w:r>
    </w:p>
    <w:p>
      <w:pPr>
        <w:pStyle w:val="BodyText"/>
      </w:pPr>
      <w:r>
        <w:rPr>
          <w:bCs/>
          <w:b/>
        </w:rPr>
        <w:t xml:space="preserve">2.2 Budgeting &amp; Variance Analysis:</w:t>
      </w:r>
      <w:r>
        <w:t xml:space="preserve"> </w:t>
      </w:r>
      <w:r>
        <w:t xml:space="preserve">Preparation of annual operating budgets, monthly variance reports, and departmental cost analyses. The analyst will identify cost-saving opportunities and present actionable recommendations to senior management in both Dutch and English.</w:t>
      </w:r>
    </w:p>
    <w:p>
      <w:pPr>
        <w:pStyle w:val="BodyText"/>
      </w:pPr>
      <w:r>
        <w:rPr>
          <w:bCs/>
          <w:b/>
        </w:rPr>
        <w:t xml:space="preserve">2.3 Investment &amp; Capital Analysis:</w:t>
      </w:r>
      <w:r>
        <w:t xml:space="preserve"> </w:t>
      </w:r>
      <w:r>
        <w:t xml:space="preserve">Evaluation of potential investment opportunities, capital expenditure assessments, and return-on-investment calculations. The</w:t>
      </w:r>
      <w:r>
        <w:t xml:space="preserve"> </w:t>
      </w:r>
      <w:r>
        <w:t xml:space="preserve">Financial Analyst</w:t>
      </w:r>
      <w:r>
        <w:t xml:space="preserve"> </w:t>
      </w:r>
      <w:r>
        <w:t xml:space="preserve">will assess market conditions in the</w:t>
      </w:r>
      <w:r>
        <w:t xml:space="preserve"> </w:t>
      </w:r>
      <w:r>
        <w:t xml:space="preserve">Netherlands Amsterdam</w:t>
      </w:r>
      <w:r>
        <w:t xml:space="preserve"> </w:t>
      </w:r>
      <w:r>
        <w:t xml:space="preserve">financial district and provide strategic guidance on capital allocation.</w:t>
      </w:r>
    </w:p>
    <w:p>
      <w:pPr>
        <w:pStyle w:val="BodyText"/>
      </w:pPr>
      <w:r>
        <w:rPr>
          <w:bCs/>
          <w:b/>
        </w:rPr>
        <w:t xml:space="preserve">2.4 Regulatory Compliance &amp; Reporting:</w:t>
      </w:r>
      <w:r>
        <w:t xml:space="preserve"> </w:t>
      </w:r>
      <w:r>
        <w:t xml:space="preserve">Ensuring all financial reporting complies with Dutch tax regulations (Belastingdienst), EU financial directives, and local Amsterdam municipal requirements. The analyst will coordinate with external auditors and prepare statutory filings.</w:t>
      </w:r>
    </w:p>
    <w:p>
      <w:pPr>
        <w:pStyle w:val="BodyText"/>
      </w:pPr>
      <w:r>
        <w:rPr>
          <w:bCs/>
          <w:b/>
        </w:rPr>
        <w:t xml:space="preserve">2.5 Ad-hoc Analytical Support:</w:t>
      </w:r>
      <w:r>
        <w:t xml:space="preserve"> </w:t>
      </w:r>
      <w:r>
        <w:t xml:space="preserve">Provision of bespoke financial analyses, due diligence support for mergers and acquisitions, and data-driven insights for board-level decision-making within the</w:t>
      </w:r>
      <w:r>
        <w:t xml:space="preserve"> </w:t>
      </w:r>
      <w:r>
        <w:t xml:space="preserve">Netherlands Amsterdam</w:t>
      </w:r>
      <w:r>
        <w:t xml:space="preserve"> </w:t>
      </w:r>
      <w:r>
        <w:t xml:space="preserve">corporate landscape.</w:t>
      </w:r>
    </w:p>
    <w:bookmarkEnd w:id="22"/>
    <w:bookmarkStart w:id="23" w:name="X619b5fd3ff6b75c1137130ef1d0e71fa0d07aaf"/>
    <w:p>
      <w:pPr>
        <w:pStyle w:val="Heading2"/>
      </w:pPr>
      <w:r>
        <w:t xml:space="preserve">3. Quotation Estimate — Detailed Cost Breakdown</w:t>
      </w:r>
    </w:p>
    <w:p>
      <w:pPr>
        <w:pStyle w:val="FirstParagraph"/>
      </w:pPr>
      <w:r>
        <w:t xml:space="preserve">The following</w:t>
      </w:r>
      <w:r>
        <w:t xml:space="preserve"> </w:t>
      </w:r>
      <w:r>
        <w:t xml:space="preserve">Quotation Estimate</w:t>
      </w:r>
      <w:r>
        <w:t xml:space="preserve"> </w:t>
      </w:r>
      <w:r>
        <w:t xml:space="preserve">presents the itemised costs for the</w:t>
      </w:r>
      <w:r>
        <w:t xml:space="preserve"> </w:t>
      </w:r>
      <w:r>
        <w:t xml:space="preserve">Financial Analyst</w:t>
      </w:r>
      <w:r>
        <w:t xml:space="preserve"> </w:t>
      </w:r>
      <w:r>
        <w:t xml:space="preserve">engagement. All figures are expressed in Euros (EUR) and are exclusive of applicable Dutch Value Added Tax (VAT) at the standard rate of 21%.</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Senior Financial Analyst — Monthly Retainer</w:t>
            </w:r>
          </w:p>
        </w:tc>
        <w:tc>
          <w:tcPr/>
          <w:p>
            <w:pPr>
              <w:pStyle w:val="Compact"/>
              <w:jc w:val="left"/>
            </w:pPr>
            <w:r>
              <w:t xml:space="preserve">12 months</w:t>
            </w:r>
          </w:p>
        </w:tc>
        <w:tc>
          <w:tcPr/>
          <w:p>
            <w:pPr>
              <w:pStyle w:val="Compact"/>
              <w:jc w:val="left"/>
            </w:pPr>
            <w:r>
              <w:t xml:space="preserve">8,500.00 / month</w:t>
            </w:r>
          </w:p>
        </w:tc>
        <w:tc>
          <w:tcPr/>
          <w:p>
            <w:pPr>
              <w:pStyle w:val="Compact"/>
              <w:jc w:val="left"/>
            </w:pPr>
            <w:r>
              <w:t xml:space="preserve">102,000.00</w:t>
            </w:r>
          </w:p>
        </w:tc>
      </w:tr>
      <w:tr>
        <w:tc>
          <w:tcPr/>
          <w:p>
            <w:pPr>
              <w:pStyle w:val="Compact"/>
              <w:jc w:val="left"/>
            </w:pPr>
            <w:r>
              <w:t xml:space="preserve">2</w:t>
            </w:r>
          </w:p>
        </w:tc>
        <w:tc>
          <w:tcPr/>
          <w:p>
            <w:pPr>
              <w:pStyle w:val="Compact"/>
              <w:jc w:val="left"/>
            </w:pPr>
            <w:r>
              <w:t xml:space="preserve">Onboarding &amp; System Integration</w:t>
            </w:r>
          </w:p>
        </w:tc>
        <w:tc>
          <w:tcPr/>
          <w:p>
            <w:pPr>
              <w:pStyle w:val="Compact"/>
              <w:jc w:val="left"/>
            </w:pPr>
            <w:r>
              <w:t xml:space="preserve">One-time</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3</w:t>
            </w:r>
          </w:p>
        </w:tc>
        <w:tc>
          <w:tcPr/>
          <w:p>
            <w:pPr>
              <w:pStyle w:val="Compact"/>
              <w:jc w:val="left"/>
            </w:pPr>
            <w:r>
              <w:t xml:space="preserve">Financial Modelling Software Licence (Amsterdam-based SaaS)</w:t>
            </w:r>
          </w:p>
        </w:tc>
        <w:tc>
          <w:tcPr/>
          <w:p>
            <w:pPr>
              <w:pStyle w:val="Compact"/>
              <w:jc w:val="left"/>
            </w:pPr>
            <w:r>
              <w:t xml:space="preserve">12 months</w:t>
            </w:r>
          </w:p>
        </w:tc>
        <w:tc>
          <w:tcPr/>
          <w:p>
            <w:pPr>
              <w:pStyle w:val="Compact"/>
              <w:jc w:val="left"/>
            </w:pPr>
            <w:r>
              <w:t xml:space="preserve">1,450.00 / month</w:t>
            </w:r>
          </w:p>
        </w:tc>
        <w:tc>
          <w:tcPr/>
          <w:p>
            <w:pPr>
              <w:pStyle w:val="Compact"/>
              <w:jc w:val="left"/>
            </w:pPr>
            <w:r>
              <w:t xml:space="preserve">17,400.00</w:t>
            </w:r>
          </w:p>
        </w:tc>
      </w:tr>
      <w:tr>
        <w:tc>
          <w:tcPr/>
          <w:p>
            <w:pPr>
              <w:pStyle w:val="Compact"/>
              <w:jc w:val="left"/>
            </w:pPr>
            <w:r>
              <w:t xml:space="preserve">4</w:t>
            </w:r>
          </w:p>
        </w:tc>
        <w:tc>
          <w:tcPr/>
          <w:p>
            <w:pPr>
              <w:pStyle w:val="Compact"/>
              <w:jc w:val="left"/>
            </w:pPr>
            <w:r>
              <w:t xml:space="preserve">Quarterly Strategic Review Sessions (4 sessions)</w:t>
            </w:r>
          </w:p>
        </w:tc>
        <w:tc>
          <w:tcPr/>
          <w:p>
            <w:pPr>
              <w:pStyle w:val="Compact"/>
              <w:jc w:val="left"/>
            </w:pPr>
            <w:r>
              <w:t xml:space="preserve">Annual</w:t>
            </w:r>
          </w:p>
        </w:tc>
        <w:tc>
          <w:tcPr/>
          <w:p>
            <w:pPr>
              <w:pStyle w:val="Compact"/>
              <w:jc w:val="left"/>
            </w:pPr>
            <w:r>
              <w:t xml:space="preserve">2,800.00 / session</w:t>
            </w:r>
          </w:p>
        </w:tc>
        <w:tc>
          <w:tcPr/>
          <w:p>
            <w:pPr>
              <w:pStyle w:val="Compact"/>
              <w:jc w:val="left"/>
            </w:pPr>
            <w:r>
              <w:t xml:space="preserve">11,200.00</w:t>
            </w:r>
          </w:p>
        </w:tc>
      </w:tr>
      <w:tr>
        <w:tc>
          <w:tcPr/>
          <w:p>
            <w:pPr>
              <w:pStyle w:val="Compact"/>
              <w:jc w:val="left"/>
            </w:pPr>
            <w:r>
              <w:t xml:space="preserve">5</w:t>
            </w:r>
          </w:p>
        </w:tc>
        <w:tc>
          <w:tcPr/>
          <w:p>
            <w:pPr>
              <w:pStyle w:val="Compact"/>
              <w:jc w:val="left"/>
            </w:pPr>
            <w:r>
              <w:t xml:space="preserve">Regulatory Compliance Advisory (Dutch Tax &amp; EU)</w:t>
            </w:r>
          </w:p>
        </w:tc>
        <w:tc>
          <w:tcPr/>
          <w:p>
            <w:pPr>
              <w:pStyle w:val="Compact"/>
              <w:jc w:val="left"/>
            </w:pPr>
            <w:r>
              <w:t xml:space="preserve">12 months</w:t>
            </w:r>
          </w:p>
        </w:tc>
        <w:tc>
          <w:tcPr/>
          <w:p>
            <w:pPr>
              <w:pStyle w:val="Compact"/>
              <w:jc w:val="left"/>
            </w:pPr>
            <w:r>
              <w:t xml:space="preserve">1,200.00 / month</w:t>
            </w:r>
          </w:p>
        </w:tc>
        <w:tc>
          <w:tcPr/>
          <w:p>
            <w:pPr>
              <w:pStyle w:val="Compact"/>
              <w:jc w:val="left"/>
            </w:pPr>
            <w:r>
              <w:t xml:space="preserve">14,400.00</w:t>
            </w:r>
          </w:p>
        </w:tc>
      </w:tr>
      <w:tr>
        <w:tc>
          <w:tcPr/>
          <w:p>
            <w:pPr>
              <w:pStyle w:val="Compact"/>
              <w:jc w:val="left"/>
            </w:pPr>
            <w:r>
              <w:t xml:space="preserve">6</w:t>
            </w:r>
          </w:p>
        </w:tc>
        <w:tc>
          <w:tcPr/>
          <w:p>
            <w:pPr>
              <w:pStyle w:val="Compact"/>
              <w:jc w:val="left"/>
            </w:pPr>
            <w:r>
              <w:t xml:space="preserve">Travel &amp; Local Expenses within Amsterdam</w:t>
            </w:r>
          </w:p>
        </w:tc>
        <w:tc>
          <w:tcPr/>
          <w:p>
            <w:pPr>
              <w:pStyle w:val="Compact"/>
              <w:jc w:val="left"/>
            </w:pPr>
            <w:r>
              <w:t xml:space="preserve">12 months</w:t>
            </w:r>
          </w:p>
        </w:tc>
        <w:tc>
          <w:tcPr/>
          <w:p>
            <w:pPr>
              <w:pStyle w:val="Compact"/>
              <w:jc w:val="left"/>
            </w:pPr>
            <w:r>
              <w:t xml:space="preserve">450.00 / month</w:t>
            </w:r>
          </w:p>
        </w:tc>
        <w:tc>
          <w:tcPr/>
          <w:p>
            <w:pPr>
              <w:pStyle w:val="Compact"/>
              <w:jc w:val="left"/>
            </w:pPr>
            <w:r>
              <w:t xml:space="preserve">5,400.00</w:t>
            </w:r>
          </w:p>
        </w:tc>
      </w:tr>
      <w:tr>
        <w:tc>
          <w:tcPr>
            <w:gridSpan w:val="4"/>
          </w:tcPr>
          <w:p>
            <w:pPr>
              <w:pStyle w:val="Compact"/>
              <w:jc w:val="left"/>
            </w:pPr>
            <w:r>
              <w:t xml:space="preserve">Subtotal (Excl. VAT)</w:t>
            </w:r>
          </w:p>
        </w:tc>
        <w:tc>
          <w:tcPr/>
          <w:p>
            <w:pPr>
              <w:pStyle w:val="Compact"/>
              <w:jc w:val="left"/>
            </w:pPr>
            <w:r>
              <w:t xml:space="preserve">153,600.00</w:t>
            </w:r>
          </w:p>
        </w:tc>
      </w:tr>
      <w:tr>
        <w:tc>
          <w:tcPr>
            <w:gridSpan w:val="4"/>
          </w:tcPr>
          <w:p>
            <w:pPr>
              <w:pStyle w:val="Compact"/>
              <w:jc w:val="left"/>
            </w:pPr>
            <w:r>
              <w:t xml:space="preserve">VAT @ 21% (Netherlands)</w:t>
            </w:r>
          </w:p>
        </w:tc>
        <w:tc>
          <w:tcPr/>
          <w:p>
            <w:pPr>
              <w:pStyle w:val="Compact"/>
              <w:jc w:val="left"/>
            </w:pPr>
            <w:r>
              <w:t xml:space="preserve">32,256.00</w:t>
            </w:r>
          </w:p>
        </w:tc>
      </w:tr>
      <w:tr>
        <w:tc>
          <w:tcPr>
            <w:gridSpan w:val="4"/>
          </w:tcPr>
          <w:p>
            <w:pPr>
              <w:pStyle w:val="Compact"/>
              <w:jc w:val="left"/>
            </w:pPr>
            <w:r>
              <w:t xml:space="preserve">Total Quotation Estimate (Incl. VAT)</w:t>
            </w:r>
          </w:p>
        </w:tc>
        <w:tc>
          <w:tcPr/>
          <w:p>
            <w:pPr>
              <w:pStyle w:val="Compact"/>
              <w:jc w:val="left"/>
            </w:pPr>
            <w:r>
              <w:t xml:space="preserve">185,856.00</w:t>
            </w:r>
          </w:p>
        </w:tc>
      </w:tr>
    </w:tbl>
    <w:bookmarkEnd w:id="23"/>
    <w:bookmarkStart w:id="24" w:name="X985eb999f0cfcda5f1af1a675bf0b7c2e0a6c64"/>
    <w:p>
      <w:pPr>
        <w:pStyle w:val="Heading2"/>
      </w:pPr>
      <w:r>
        <w:t xml:space="preserve">4. Terms and Conditions of This Quotation Estimate</w:t>
      </w:r>
    </w:p>
    <w:p>
      <w:pPr>
        <w:pStyle w:val="FirstParagraph"/>
      </w:pPr>
      <w:r>
        <w:rPr>
          <w:bCs/>
          <w:b/>
        </w:rPr>
        <w:t xml:space="preserve">4.1 Validity:</w:t>
      </w:r>
      <w:r>
        <w:t xml:space="preserve"> </w:t>
      </w:r>
      <w:r>
        <w:t xml:space="preserve">This</w:t>
      </w:r>
      <w:r>
        <w:t xml:space="preserve"> </w:t>
      </w:r>
      <w:r>
        <w:t xml:space="preserve">Quotation Estimate</w:t>
      </w:r>
      <w:r>
        <w:t xml:space="preserve"> </w:t>
      </w:r>
      <w:r>
        <w:t xml:space="preserve">is valid for thirty (30) calendar days from the date of issue. Beyond this period, rates may be subject to revision based on market conditions in the</w:t>
      </w:r>
      <w:r>
        <w:t xml:space="preserve"> </w:t>
      </w:r>
      <w:r>
        <w:t xml:space="preserve">Netherlands Amsterdam</w:t>
      </w:r>
      <w:r>
        <w:t xml:space="preserve"> </w:t>
      </w:r>
      <w:r>
        <w:t xml:space="preserve">professional services sector.</w:t>
      </w:r>
    </w:p>
    <w:p>
      <w:pPr>
        <w:pStyle w:val="BodyText"/>
      </w:pPr>
      <w:r>
        <w:rPr>
          <w:bCs/>
          <w:b/>
        </w:rPr>
        <w:t xml:space="preserve">4.2 Payment Terms:</w:t>
      </w:r>
      <w:r>
        <w:t xml:space="preserve"> </w:t>
      </w:r>
      <w:r>
        <w:t xml:space="preserve">Invoices will be issued monthly in arrears. Payment is due within thirty (30) days of invoice date via bank transfer to the designated account of Meridian Advisory Group B.V., Amsterdam, Netherlands. Late payments will incur interest at the statutory Dutch rate.</w:t>
      </w:r>
    </w:p>
    <w:p>
      <w:pPr>
        <w:pStyle w:val="BodyText"/>
      </w:pPr>
      <w:r>
        <w:rPr>
          <w:bCs/>
          <w:b/>
        </w:rPr>
        <w:t xml:space="preserve">4.3 Engagement Period:</w:t>
      </w:r>
      <w:r>
        <w:t xml:space="preserve"> </w:t>
      </w:r>
      <w:r>
        <w:t xml:space="preserve">The</w:t>
      </w:r>
      <w:r>
        <w:t xml:space="preserve"> </w:t>
      </w:r>
      <w:r>
        <w:t xml:space="preserve">Financial Analyst</w:t>
      </w:r>
      <w:r>
        <w:t xml:space="preserve"> </w:t>
      </w:r>
      <w:r>
        <w:t xml:space="preserve">engagement is proposed for an initial term of twelve (12) months, renewable by mutual written agreement. Either party may terminate the engagement with sixty (60) days' written notice.</w:t>
      </w:r>
    </w:p>
    <w:p>
      <w:pPr>
        <w:pStyle w:val="BodyText"/>
      </w:pPr>
      <w:r>
        <w:rPr>
          <w:bCs/>
          <w:b/>
        </w:rPr>
        <w:t xml:space="preserve">4.4 Confidentiality:</w:t>
      </w:r>
      <w:r>
        <w:t xml:space="preserve"> </w:t>
      </w:r>
      <w:r>
        <w:t xml:space="preserve">The</w:t>
      </w:r>
      <w:r>
        <w:t xml:space="preserve"> </w:t>
      </w:r>
      <w:r>
        <w:t xml:space="preserve">Financial Analyst</w:t>
      </w:r>
      <w:r>
        <w:t xml:space="preserve"> </w:t>
      </w:r>
      <w:r>
        <w:t xml:space="preserve">shall be bound by a strict Non-Disclosure Agreement (NDA) in accordance with Dutch data protection law (AVG/GDPR). All financial data pertaining to the client's operations in</w:t>
      </w:r>
      <w:r>
        <w:t xml:space="preserve"> </w:t>
      </w:r>
      <w:r>
        <w:t xml:space="preserve">Netherlands Amsterdam</w:t>
      </w:r>
      <w:r>
        <w:t xml:space="preserve"> </w:t>
      </w:r>
      <w:r>
        <w:t xml:space="preserve">shall be treated as strictly confidential.</w:t>
      </w:r>
    </w:p>
    <w:p>
      <w:pPr>
        <w:pStyle w:val="BodyText"/>
      </w:pPr>
      <w:r>
        <w:rPr>
          <w:bCs/>
          <w:b/>
        </w:rPr>
        <w:t xml:space="preserve">4.5 Governing Law:</w:t>
      </w:r>
      <w:r>
        <w:t xml:space="preserve"> </w:t>
      </w:r>
      <w:r>
        <w:t xml:space="preserve">This</w:t>
      </w:r>
      <w:r>
        <w:t xml:space="preserve"> </w:t>
      </w:r>
      <w:r>
        <w:t xml:space="preserve">Quotation Estimate</w:t>
      </w:r>
      <w:r>
        <w:t xml:space="preserve"> </w:t>
      </w:r>
      <w:r>
        <w:t xml:space="preserve">and the resulting engagement shall be governed by and interpreted in accordance with the laws of the Kingdom of the Netherlands. Any disputes shall be subject to the exclusive jurisdiction of the District Court of Amsterdam.</w:t>
      </w:r>
    </w:p>
    <w:p>
      <w:pPr>
        <w:pStyle w:val="BodyText"/>
      </w:pPr>
      <w:r>
        <w:rPr>
          <w:bCs/>
          <w:b/>
        </w:rPr>
        <w:t xml:space="preserve">4.6 Subcontracting:</w:t>
      </w:r>
      <w:r>
        <w:t xml:space="preserve"> </w:t>
      </w:r>
      <w:r>
        <w:t xml:space="preserve">The</w:t>
      </w:r>
      <w:r>
        <w:t xml:space="preserve"> </w:t>
      </w:r>
      <w:r>
        <w:t xml:space="preserve">Financial Analyst</w:t>
      </w:r>
      <w:r>
        <w:t xml:space="preserve"> </w:t>
      </w:r>
      <w:r>
        <w:t xml:space="preserve">may, with prior written consent from the client, engage specialist sub-consultants for tax advisory or forensic accounting tasks within the</w:t>
      </w:r>
      <w:r>
        <w:t xml:space="preserve"> </w:t>
      </w:r>
      <w:r>
        <w:t xml:space="preserve">Netherlands Amsterdam</w:t>
      </w:r>
      <w:r>
        <w:t xml:space="preserve"> </w:t>
      </w:r>
      <w:r>
        <w:t xml:space="preserve">region.</w:t>
      </w:r>
    </w:p>
    <w:bookmarkEnd w:id="24"/>
    <w:bookmarkStart w:id="25" w:name="acceptance-and-authorisation"/>
    <w:p>
      <w:pPr>
        <w:pStyle w:val="Heading2"/>
      </w:pPr>
      <w:r>
        <w:t xml:space="preserve">5. Acceptance and Authorisation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outlined herein for the engagement of the</w:t>
      </w:r>
      <w:r>
        <w:t xml:space="preserve"> </w:t>
      </w:r>
      <w:r>
        <w:t xml:space="preserve">Financial Analyst</w:t>
      </w:r>
      <w:r>
        <w:t xml:space="preserve"> </w:t>
      </w:r>
      <w:r>
        <w:t xml:space="preserve">in</w:t>
      </w:r>
      <w:r>
        <w:t xml:space="preserve"> </w:t>
      </w:r>
      <w:r>
        <w:t xml:space="preserve">Netherlands Amsterdam</w:t>
      </w:r>
      <w:r>
        <w:t xml:space="preserve">. This signature constitutes a binding acceptance of the proposed services and associated costs.</w:t>
      </w:r>
    </w:p>
    <w:bookmarkEnd w:id="25"/>
    <w:p>
      <w:pPr>
        <w:pStyle w:val="BodyText"/>
      </w:pPr>
      <w:r>
        <w:rPr>
          <w:bCs/>
          <w:b/>
        </w:rPr>
        <w:t xml:space="preserve">For Meridian Advisory Group B.V.</w:t>
      </w:r>
    </w:p>
    <w:p>
      <w:pPr>
        <w:pStyle w:val="BodyText"/>
      </w:pPr>
      <w:r>
        <w:t xml:space="preserve">Authorised Signatory</w:t>
      </w:r>
    </w:p>
    <w:p>
      <w:pPr>
        <w:pStyle w:val="BodyText"/>
      </w:pPr>
      <w:r>
        <w:t xml:space="preserve">Date: _______________</w:t>
      </w:r>
    </w:p>
    <w:p>
      <w:pPr>
        <w:pStyle w:val="BodyText"/>
      </w:pPr>
      <w:r>
        <w:rPr>
          <w:bCs/>
          <w:b/>
        </w:rPr>
        <w:t xml:space="preserve">For [Client Company Name]</w:t>
      </w:r>
    </w:p>
    <w:p>
      <w:pPr>
        <w:pStyle w:val="BodyText"/>
      </w:pPr>
      <w:r>
        <w:t xml:space="preserve">Authorised Signatory</w:t>
      </w:r>
    </w:p>
    <w:p>
      <w:pPr>
        <w:pStyle w:val="BodyText"/>
      </w:pPr>
      <w:r>
        <w:t xml:space="preserve">Date: _______________</w:t>
      </w:r>
    </w:p>
    <w:p>
      <w:pPr>
        <w:pStyle w:val="BodyText"/>
      </w:pPr>
      <w:r>
        <w:t xml:space="preserve">Meridian Advisory Group B.V. | Herengracht 420, 1017 CA Amsterdam, Netherlands | KVK 87654321 | VAT NL876543212B01</w:t>
      </w:r>
    </w:p>
    <w:p>
      <w:pPr>
        <w:pStyle w:val="BodyText"/>
      </w:pPr>
      <w:r>
        <w:t xml:space="preserve">This Quotation Estimate document is confidential and intended solely for the named recipient. Unauthorised reproduction or distribution is prohibited under Dutch intellectual property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Financial Analyst - Netherlands Amsterdam</dc:title>
  <dc:creator/>
  <dc:language>en</dc:language>
  <cp:keywords/>
  <dcterms:created xsi:type="dcterms:W3CDTF">2026-10-10T02:34:30Z</dcterms:created>
  <dcterms:modified xsi:type="dcterms:W3CDTF">2026-10-10T02:34:30Z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