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Prepared for clients operating in New Zealand Auckland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QE-FA-AKL-2025-0417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r>
      <w:tr>
        <w:tc>
          <w:tcPr/>
          <w:p>
            <w:pPr>
              <w:pStyle w:val="Compact"/>
              <w:jc w:val="left"/>
            </w:pPr>
            <w:r>
              <w:t xml:space="preserve">Prepared By:</w:t>
            </w:r>
          </w:p>
        </w:tc>
        <w:tc>
          <w:tcPr/>
          <w:p>
            <w:pPr>
              <w:pStyle w:val="Compact"/>
              <w:jc w:val="left"/>
            </w:pPr>
            <w:r>
              <w:t xml:space="preserve">Meridian Advisory Group Ltd, 145 Federal Street, Auckland CBD, New Zealand</w:t>
            </w:r>
          </w:p>
        </w:tc>
      </w:tr>
      <w:tr>
        <w:tc>
          <w:tcPr/>
          <w:p>
            <w:pPr>
              <w:pStyle w:val="Compact"/>
              <w:jc w:val="left"/>
            </w:pPr>
            <w:r>
              <w:t xml:space="preserve">Prepared For:</w:t>
            </w:r>
          </w:p>
        </w:tc>
        <w:tc>
          <w:tcPr/>
          <w:p>
            <w:pPr>
              <w:pStyle w:val="Compact"/>
              <w:jc w:val="left"/>
            </w:pPr>
            <w:r>
              <w:t xml:space="preserve">Client Organisation (Name to be confirmed upon acceptance)</w:t>
            </w:r>
          </w:p>
        </w:tc>
      </w:tr>
      <w:tr>
        <w:tc>
          <w:tcPr/>
          <w:p>
            <w:pPr>
              <w:pStyle w:val="Compact"/>
              <w:jc w:val="left"/>
            </w:pPr>
            <w:r>
              <w:t xml:space="preserve">Service Location:</w:t>
            </w:r>
          </w:p>
        </w:tc>
        <w:tc>
          <w:tcPr/>
          <w:p>
            <w:pPr>
              <w:pStyle w:val="Compact"/>
              <w:jc w:val="left"/>
            </w:pPr>
            <w:r>
              <w:t xml:space="preserve">New Zealand Auckland – On-site and Remote Hybrid</w:t>
            </w:r>
          </w:p>
        </w:tc>
      </w:tr>
      <w:tr>
        <w:tc>
          <w:tcPr/>
          <w:p>
            <w:pPr>
              <w:pStyle w:val="Compact"/>
              <w:jc w:val="left"/>
            </w:pPr>
            <w:r>
              <w:t xml:space="preserve">Engagement Type:</w:t>
            </w:r>
          </w:p>
        </w:tc>
        <w:tc>
          <w:tcPr/>
          <w:p>
            <w:pPr>
              <w:pStyle w:val="Compact"/>
              <w:jc w:val="left"/>
            </w:pPr>
            <w:r>
              <w:t xml:space="preserve">Contractual – Financial Analyst (Full-Time Equivalent)</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Meridian Advisory Group Ltd to provide a comprehensive, transparent, and itemised cost breakdown for the engagement of a qualified</w:t>
      </w:r>
      <w:r>
        <w:t xml:space="preserve"> </w:t>
      </w:r>
      <w:r>
        <w:t xml:space="preserve">Financial Analyst</w:t>
      </w:r>
      <w:r>
        <w:t xml:space="preserve"> </w:t>
      </w:r>
      <w:r>
        <w:t xml:space="preserve">to support your organisation's operations within</w:t>
      </w:r>
      <w:r>
        <w:t xml:space="preserve"> </w:t>
      </w:r>
      <w:r>
        <w:t xml:space="preserve">New Zealand Auckland</w:t>
      </w:r>
      <w:r>
        <w:t xml:space="preserve">. We understand that securing the right financial expertise is critical to maintaining accurate reporting, strategic forecasting, and regulatory compliance in the dynamic Auckland business environment.</w:t>
      </w:r>
    </w:p>
    <w:p>
      <w:pPr>
        <w:pStyle w:val="BodyText"/>
      </w:pPr>
      <w:r>
        <w:t xml:space="preserve">The purpose of this document is to outline the scope of services, deliverables, associated costs, and contractual terms governing the provision of Financial Analyst services. All figures presented in this Quotation Estimate are denominated in New Zealand Dollars (NZD) and reflect current market rates applicable to the New Zealand Auckland professional services sector as of the date of issue.</w:t>
      </w:r>
    </w:p>
    <w:bookmarkEnd w:id="21"/>
    <w:bookmarkStart w:id="26" w:name="scope-of-services-financial-analyst-role"/>
    <w:p>
      <w:pPr>
        <w:pStyle w:val="Heading2"/>
      </w:pPr>
      <w:r>
        <w:t xml:space="preserve">2. Scope of Services – Financial Analyst Role</w:t>
      </w:r>
    </w:p>
    <w:p>
      <w:pPr>
        <w:pStyle w:val="FirstParagraph"/>
      </w:pPr>
      <w:r>
        <w:t xml:space="preserve">The</w:t>
      </w:r>
      <w:r>
        <w:t xml:space="preserve"> </w:t>
      </w:r>
      <w:r>
        <w:t xml:space="preserve">Financial Analyst</w:t>
      </w:r>
      <w:r>
        <w:t xml:space="preserve"> </w:t>
      </w:r>
      <w:r>
        <w:t xml:space="preserve">engaged under this Quotation Estimate will perform the following core duties and responsibilities, tailored to the specific needs of your New Zealand Auckland-based operations:</w:t>
      </w:r>
    </w:p>
    <w:bookmarkStart w:id="22" w:name="financial-reporting-and-analysis"/>
    <w:p>
      <w:pPr>
        <w:pStyle w:val="Heading3"/>
      </w:pPr>
      <w:r>
        <w:t xml:space="preserve">2.1 Financial Reporting and Analysis</w:t>
      </w:r>
    </w:p>
    <w:p>
      <w:pPr>
        <w:numPr>
          <w:ilvl w:val="0"/>
          <w:numId w:val="1001"/>
        </w:numPr>
        <w:pStyle w:val="Compact"/>
      </w:pPr>
      <w:r>
        <w:t xml:space="preserve">Preparation of monthly, quarterly, and annual financial statements in compliance with New Zealand Financial Reporting Standards (NZ IFRS / NZ GAAP).</w:t>
      </w:r>
    </w:p>
    <w:p>
      <w:pPr>
        <w:numPr>
          <w:ilvl w:val="0"/>
          <w:numId w:val="1001"/>
        </w:numPr>
        <w:pStyle w:val="Compact"/>
      </w:pPr>
      <w:r>
        <w:t xml:space="preserve">Development of variance analyses, trend reports, and management dashboards for senior leadership.</w:t>
      </w:r>
    </w:p>
    <w:p>
      <w:pPr>
        <w:numPr>
          <w:ilvl w:val="0"/>
          <w:numId w:val="1001"/>
        </w:numPr>
        <w:pStyle w:val="Compact"/>
      </w:pPr>
      <w:r>
        <w:t xml:space="preserve">Reconciliation of general ledger accounts and support for statutory audits conducted by registered New Zealand audit firms.</w:t>
      </w:r>
    </w:p>
    <w:bookmarkEnd w:id="22"/>
    <w:bookmarkStart w:id="23" w:name="budgeting-and-forecasting"/>
    <w:p>
      <w:pPr>
        <w:pStyle w:val="Heading3"/>
      </w:pPr>
      <w:r>
        <w:t xml:space="preserve">2.2 Budgeting and Forecasting</w:t>
      </w:r>
    </w:p>
    <w:p>
      <w:pPr>
        <w:numPr>
          <w:ilvl w:val="0"/>
          <w:numId w:val="1002"/>
        </w:numPr>
        <w:pStyle w:val="Compact"/>
      </w:pPr>
      <w:r>
        <w:t xml:space="preserve">Construction and maintenance of annual operating budgets and multi-year financial forecasts.</w:t>
      </w:r>
    </w:p>
    <w:p>
      <w:pPr>
        <w:numPr>
          <w:ilvl w:val="0"/>
          <w:numId w:val="1002"/>
        </w:numPr>
        <w:pStyle w:val="Compact"/>
      </w:pPr>
      <w:r>
        <w:t xml:space="preserve">Scenario modelling and sensitivity analysis to support strategic decision-making in the New Zealand Auckland market.</w:t>
      </w:r>
    </w:p>
    <w:p>
      <w:pPr>
        <w:numPr>
          <w:ilvl w:val="0"/>
          <w:numId w:val="1002"/>
        </w:numPr>
        <w:pStyle w:val="Compact"/>
      </w:pPr>
      <w:r>
        <w:t xml:space="preserve">Capital expenditure (CapEx) evaluation and return-on-investment (ROI) assessments.</w:t>
      </w:r>
    </w:p>
    <w:bookmarkEnd w:id="23"/>
    <w:bookmarkStart w:id="24" w:name="compliance-and-regulatory-support"/>
    <w:p>
      <w:pPr>
        <w:pStyle w:val="Heading3"/>
      </w:pPr>
      <w:r>
        <w:t xml:space="preserve">2.3 Compliance and Regulatory Support</w:t>
      </w:r>
    </w:p>
    <w:p>
      <w:pPr>
        <w:numPr>
          <w:ilvl w:val="0"/>
          <w:numId w:val="1003"/>
        </w:numPr>
        <w:pStyle w:val="Compact"/>
      </w:pPr>
      <w:r>
        <w:t xml:space="preserve">Monitoring of obligations under the New Zealand Companies Act 2013, the Financial Markets Conduct Act 2013, and relevant Inland Revenue Department (IRD) requirements.</w:t>
      </w:r>
    </w:p>
    <w:p>
      <w:pPr>
        <w:numPr>
          <w:ilvl w:val="0"/>
          <w:numId w:val="1003"/>
        </w:numPr>
        <w:pStyle w:val="Compact"/>
      </w:pPr>
      <w:r>
        <w:t xml:space="preserve">Preparation of GST returns, PAYE reconciliations, and provision of supporting documentation for tax filings.</w:t>
      </w:r>
    </w:p>
    <w:p>
      <w:pPr>
        <w:numPr>
          <w:ilvl w:val="0"/>
          <w:numId w:val="1003"/>
        </w:numPr>
        <w:pStyle w:val="Compact"/>
      </w:pPr>
      <w:r>
        <w:t xml:space="preserve">Assistance with annual returns filed with the New Zealand Companies Office.</w:t>
      </w:r>
    </w:p>
    <w:bookmarkEnd w:id="24"/>
    <w:bookmarkStart w:id="25" w:name="ad-hoc-and-strategic-support"/>
    <w:p>
      <w:pPr>
        <w:pStyle w:val="Heading3"/>
      </w:pPr>
      <w:r>
        <w:t xml:space="preserve">2.4 Ad-Hoc and Strategic Support</w:t>
      </w:r>
    </w:p>
    <w:p>
      <w:pPr>
        <w:numPr>
          <w:ilvl w:val="0"/>
          <w:numId w:val="1004"/>
        </w:numPr>
        <w:pStyle w:val="Compact"/>
      </w:pPr>
      <w:r>
        <w:t xml:space="preserve">Due diligence support for mergers, acquisitions, or joint ventures within the Auckland region.</w:t>
      </w:r>
    </w:p>
    <w:p>
      <w:pPr>
        <w:numPr>
          <w:ilvl w:val="0"/>
          <w:numId w:val="1004"/>
        </w:numPr>
        <w:pStyle w:val="Compact"/>
      </w:pPr>
      <w:r>
        <w:t xml:space="preserve">Development of internal control frameworks and process improvement recommendations.</w:t>
      </w:r>
    </w:p>
    <w:p>
      <w:pPr>
        <w:numPr>
          <w:ilvl w:val="0"/>
          <w:numId w:val="1004"/>
        </w:numPr>
        <w:pStyle w:val="Compact"/>
      </w:pPr>
      <w:r>
        <w:t xml:space="preserve">Collaboration with the CFO, Finance Manager, and external auditors based in New Zealand Auckland.</w:t>
      </w:r>
    </w:p>
    <w:bookmarkEnd w:id="25"/>
    <w:bookmarkEnd w:id="26"/>
    <w:bookmarkStart w:id="27" w:name="X820967847640df3c0d33599fbe4dd66205affec"/>
    <w:p>
      <w:pPr>
        <w:pStyle w:val="Heading2"/>
      </w:pPr>
      <w:r>
        <w:t xml:space="preserve">3. Professional Qualifications and Experience</w:t>
      </w:r>
    </w:p>
    <w:p>
      <w:pPr>
        <w:pStyle w:val="FirstParagraph"/>
      </w:pPr>
      <w:r>
        <w:t xml:space="preserve">The Financial Analyst proposed under this Quotation Estimate holds a minimum of a Bachelor's degree in Commerce, Accounting, or Finance from a New Zealand-recognised institution. The candidate possesses a minimum of five (5) years of progressive experience in financial analysis, with at least two (2) years of direct experience supporting organisations operating in New Zealand Auckland. Professional membership with the New Zealand Institute of Chartered Accountants (NZICA) or the Institute of Professional Accountants New Zealand (IPANZ) is required. Familiarity with the Auckland business landscape, local regulatory environment, and industry-specific reporting requirements is a mandatory qualification.</w:t>
      </w:r>
    </w:p>
    <w:bookmarkEnd w:id="27"/>
    <w:bookmarkStart w:id="28" w:name="X83c4279fdfe0006302ff32c697d8131583a5b8b"/>
    <w:p>
      <w:pPr>
        <w:pStyle w:val="Heading2"/>
      </w:pPr>
      <w:r>
        <w:t xml:space="preserve">4. Quotation Estimate – Itemised Cost Breakdown</w:t>
      </w:r>
    </w:p>
    <w:p>
      <w:pPr>
        <w:pStyle w:val="FirstParagraph"/>
      </w:pPr>
      <w:r>
        <w:t xml:space="preserve">The following table presents the full cost structure for this engagement. This Quotation Estimate covers a twelve (12) month initial contract term, with the option to extend on a rolling twelve-month basis subject to mutual agreement.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Rate (NZD)</w:t>
            </w:r>
          </w:p>
        </w:tc>
        <w:tc>
          <w:tcPr/>
          <w:p>
            <w:pPr>
              <w:pStyle w:val="Compact"/>
              <w:jc w:val="left"/>
            </w:pPr>
            <w:r>
              <w:t xml:space="preserve">Quantity</w:t>
            </w:r>
          </w:p>
        </w:tc>
        <w:tc>
          <w:tcPr/>
          <w:p>
            <w:pPr>
              <w:pStyle w:val="Compact"/>
              <w:jc w:val="left"/>
            </w:pPr>
            <w:r>
              <w:t xml:space="preserve">Amount (NZD)</w:t>
            </w:r>
          </w:p>
        </w:tc>
      </w:tr>
      <w:tr>
        <w:tc>
          <w:tcPr/>
          <w:p>
            <w:pPr>
              <w:pStyle w:val="Compact"/>
              <w:jc w:val="left"/>
            </w:pPr>
            <w:r>
              <w:t xml:space="preserve">Financial Analyst – Base Salary (Full-Time, 40 hrs/week)</w:t>
            </w:r>
          </w:p>
        </w:tc>
        <w:tc>
          <w:tcPr/>
          <w:p>
            <w:pPr>
              <w:pStyle w:val="Compact"/>
              <w:jc w:val="left"/>
            </w:pPr>
            <w:r>
              <w:t xml:space="preserve">Per annum</w:t>
            </w:r>
          </w:p>
        </w:tc>
        <w:tc>
          <w:tcPr/>
          <w:p>
            <w:pPr>
              <w:pStyle w:val="Compact"/>
              <w:jc w:val="left"/>
            </w:pPr>
            <w:r>
              <w:t xml:space="preserve">112,000.00</w:t>
            </w:r>
          </w:p>
        </w:tc>
        <w:tc>
          <w:tcPr/>
          <w:p>
            <w:pPr>
              <w:pStyle w:val="Compact"/>
              <w:jc w:val="left"/>
            </w:pPr>
            <w:r>
              <w:t xml:space="preserve">1.0</w:t>
            </w:r>
          </w:p>
        </w:tc>
        <w:tc>
          <w:tcPr/>
          <w:p>
            <w:pPr>
              <w:pStyle w:val="Compact"/>
              <w:jc w:val="left"/>
            </w:pPr>
            <w:r>
              <w:t xml:space="preserve">112,000.00</w:t>
            </w:r>
          </w:p>
        </w:tc>
      </w:tr>
      <w:tr>
        <w:tc>
          <w:tcPr/>
          <w:p>
            <w:pPr>
              <w:pStyle w:val="Compact"/>
              <w:jc w:val="left"/>
            </w:pPr>
            <w:r>
              <w:t xml:space="preserve">Employer KiwiSaver Contributions (3% minimum)</w:t>
            </w:r>
          </w:p>
        </w:tc>
        <w:tc>
          <w:tcPr/>
          <w:p>
            <w:pPr>
              <w:pStyle w:val="Compact"/>
              <w:jc w:val="left"/>
            </w:pPr>
            <w:r>
              <w:t xml:space="preserve">Per annum</w:t>
            </w:r>
          </w:p>
        </w:tc>
        <w:tc>
          <w:tcPr/>
          <w:p>
            <w:pPr>
              <w:pStyle w:val="Compact"/>
              <w:jc w:val="left"/>
            </w:pPr>
            <w:r>
              <w:t xml:space="preserve">3,360.00</w:t>
            </w:r>
          </w:p>
        </w:tc>
        <w:tc>
          <w:tcPr/>
          <w:p>
            <w:pPr>
              <w:pStyle w:val="Compact"/>
              <w:jc w:val="left"/>
            </w:pPr>
            <w:r>
              <w:t xml:space="preserve">1.0</w:t>
            </w:r>
          </w:p>
        </w:tc>
        <w:tc>
          <w:tcPr/>
          <w:p>
            <w:pPr>
              <w:pStyle w:val="Compact"/>
              <w:jc w:val="left"/>
            </w:pPr>
            <w:r>
              <w:t xml:space="preserve">3,360.00</w:t>
            </w:r>
          </w:p>
        </w:tc>
      </w:tr>
      <w:tr>
        <w:tc>
          <w:tcPr/>
          <w:p>
            <w:pPr>
              <w:pStyle w:val="Compact"/>
              <w:jc w:val="left"/>
            </w:pPr>
            <w:r>
              <w:t xml:space="preserve">Employer ACC / EFT Levy and Statutory Levies</w:t>
            </w:r>
          </w:p>
        </w:tc>
        <w:tc>
          <w:tcPr/>
          <w:p>
            <w:pPr>
              <w:pStyle w:val="Compact"/>
              <w:jc w:val="left"/>
            </w:pPr>
            <w:r>
              <w:t xml:space="preserve">Per annum</w:t>
            </w:r>
          </w:p>
        </w:tc>
        <w:tc>
          <w:tcPr/>
          <w:p>
            <w:pPr>
              <w:pStyle w:val="Compact"/>
              <w:jc w:val="left"/>
            </w:pPr>
            <w:r>
              <w:t xml:space="preserve">4,800.00</w:t>
            </w:r>
          </w:p>
        </w:tc>
        <w:tc>
          <w:tcPr/>
          <w:p>
            <w:pPr>
              <w:pStyle w:val="Compact"/>
              <w:jc w:val="left"/>
            </w:pPr>
            <w:r>
              <w:t xml:space="preserve">1.0</w:t>
            </w:r>
          </w:p>
        </w:tc>
        <w:tc>
          <w:tcPr/>
          <w:p>
            <w:pPr>
              <w:pStyle w:val="Compact"/>
              <w:jc w:val="left"/>
            </w:pPr>
            <w:r>
              <w:t xml:space="preserve">4,800.00</w:t>
            </w:r>
          </w:p>
        </w:tc>
      </w:tr>
      <w:tr>
        <w:tc>
          <w:tcPr/>
          <w:p>
            <w:pPr>
              <w:pStyle w:val="Compact"/>
              <w:jc w:val="left"/>
            </w:pPr>
            <w:r>
              <w:t xml:space="preserve">Professional Indemnity and Public Liability Insurance</w:t>
            </w:r>
          </w:p>
        </w:tc>
        <w:tc>
          <w:tcPr/>
          <w:p>
            <w:pPr>
              <w:pStyle w:val="Compact"/>
              <w:jc w:val="left"/>
            </w:pPr>
            <w:r>
              <w:t xml:space="preserve">Per annum</w:t>
            </w:r>
          </w:p>
        </w:tc>
        <w:tc>
          <w:tcPr/>
          <w:p>
            <w:pPr>
              <w:pStyle w:val="Compact"/>
              <w:jc w:val="left"/>
            </w:pPr>
            <w:r>
              <w:t xml:space="preserve">2,400.00</w:t>
            </w:r>
          </w:p>
        </w:tc>
        <w:tc>
          <w:tcPr/>
          <w:p>
            <w:pPr>
              <w:pStyle w:val="Compact"/>
              <w:jc w:val="left"/>
            </w:pPr>
            <w:r>
              <w:t xml:space="preserve">1.0</w:t>
            </w:r>
          </w:p>
        </w:tc>
        <w:tc>
          <w:tcPr/>
          <w:p>
            <w:pPr>
              <w:pStyle w:val="Compact"/>
              <w:jc w:val="left"/>
            </w:pPr>
            <w:r>
              <w:t xml:space="preserve">2,400.00</w:t>
            </w:r>
          </w:p>
        </w:tc>
      </w:tr>
      <w:tr>
        <w:tc>
          <w:tcPr/>
          <w:p>
            <w:pPr>
              <w:pStyle w:val="Compact"/>
              <w:jc w:val="left"/>
            </w:pPr>
            <w:r>
              <w:t xml:space="preserve">Software Licences (ERP, BI Tools, Excel Add-ins)</w:t>
            </w:r>
          </w:p>
        </w:tc>
        <w:tc>
          <w:tcPr/>
          <w:p>
            <w:pPr>
              <w:pStyle w:val="Compact"/>
              <w:jc w:val="left"/>
            </w:pPr>
            <w:r>
              <w:t xml:space="preserve">Per annum</w:t>
            </w:r>
          </w:p>
        </w:tc>
        <w:tc>
          <w:tcPr/>
          <w:p>
            <w:pPr>
              <w:pStyle w:val="Compact"/>
              <w:jc w:val="left"/>
            </w:pPr>
            <w:r>
              <w:t xml:space="preserve">6,200.00</w:t>
            </w:r>
          </w:p>
        </w:tc>
        <w:tc>
          <w:tcPr/>
          <w:p>
            <w:pPr>
              <w:pStyle w:val="Compact"/>
              <w:jc w:val="left"/>
            </w:pPr>
            <w:r>
              <w:t xml:space="preserve">1.0</w:t>
            </w:r>
          </w:p>
        </w:tc>
        <w:tc>
          <w:tcPr/>
          <w:p>
            <w:pPr>
              <w:pStyle w:val="Compact"/>
              <w:jc w:val="left"/>
            </w:pPr>
            <w:r>
              <w:t xml:space="preserve">6,200.00</w:t>
            </w:r>
          </w:p>
        </w:tc>
      </w:tr>
      <w:tr>
        <w:tc>
          <w:tcPr/>
          <w:p>
            <w:pPr>
              <w:pStyle w:val="Compact"/>
              <w:jc w:val="left"/>
            </w:pPr>
            <w:r>
              <w:t xml:space="preserve">On-Site Office Allocation – New Zealand Auckland CBD</w:t>
            </w:r>
          </w:p>
        </w:tc>
        <w:tc>
          <w:tcPr/>
          <w:p>
            <w:pPr>
              <w:pStyle w:val="Compact"/>
              <w:jc w:val="left"/>
            </w:pPr>
            <w:r>
              <w:t xml:space="preserve">Per annum</w:t>
            </w:r>
          </w:p>
        </w:tc>
        <w:tc>
          <w:tcPr/>
          <w:p>
            <w:pPr>
              <w:pStyle w:val="Compact"/>
              <w:jc w:val="left"/>
            </w:pPr>
            <w:r>
              <w:t xml:space="preserve">8,500.00</w:t>
            </w:r>
          </w:p>
        </w:tc>
        <w:tc>
          <w:tcPr/>
          <w:p>
            <w:pPr>
              <w:pStyle w:val="Compact"/>
              <w:jc w:val="left"/>
            </w:pPr>
            <w:r>
              <w:t xml:space="preserve">1.0</w:t>
            </w:r>
          </w:p>
        </w:tc>
        <w:tc>
          <w:tcPr/>
          <w:p>
            <w:pPr>
              <w:pStyle w:val="Compact"/>
              <w:jc w:val="left"/>
            </w:pPr>
            <w:r>
              <w:t xml:space="preserve">8,500.00</w:t>
            </w:r>
          </w:p>
        </w:tc>
      </w:tr>
      <w:tr>
        <w:tc>
          <w:tcPr/>
          <w:p>
            <w:pPr>
              <w:pStyle w:val="Compact"/>
              <w:jc w:val="left"/>
            </w:pPr>
            <w:r>
              <w:t xml:space="preserve">Professional Development and NZICA/IPANZ CPD Membership</w:t>
            </w:r>
          </w:p>
        </w:tc>
        <w:tc>
          <w:tcPr/>
          <w:p>
            <w:pPr>
              <w:pStyle w:val="Compact"/>
              <w:jc w:val="left"/>
            </w:pPr>
            <w:r>
              <w:t xml:space="preserve">Per annum</w:t>
            </w:r>
          </w:p>
        </w:tc>
        <w:tc>
          <w:tcPr/>
          <w:p>
            <w:pPr>
              <w:pStyle w:val="Compact"/>
              <w:jc w:val="left"/>
            </w:pPr>
            <w:r>
              <w:t xml:space="preserve">1,800.00</w:t>
            </w:r>
          </w:p>
        </w:tc>
        <w:tc>
          <w:tcPr/>
          <w:p>
            <w:pPr>
              <w:pStyle w:val="Compact"/>
              <w:jc w:val="left"/>
            </w:pPr>
            <w:r>
              <w:t xml:space="preserve">1.0</w:t>
            </w:r>
          </w:p>
        </w:tc>
        <w:tc>
          <w:tcPr/>
          <w:p>
            <w:pPr>
              <w:pStyle w:val="Compact"/>
              <w:jc w:val="left"/>
            </w:pPr>
            <w:r>
              <w:t xml:space="preserve">1,800.00</w:t>
            </w:r>
          </w:p>
        </w:tc>
      </w:tr>
      <w:tr>
        <w:tc>
          <w:tcPr/>
          <w:p>
            <w:pPr>
              <w:pStyle w:val="Compact"/>
              <w:jc w:val="left"/>
            </w:pPr>
            <w:r>
              <w:t xml:space="preserve">Project Management and Supervisory Oversight (10% of base)</w:t>
            </w:r>
          </w:p>
        </w:tc>
        <w:tc>
          <w:tcPr/>
          <w:p>
            <w:pPr>
              <w:pStyle w:val="Compact"/>
              <w:jc w:val="left"/>
            </w:pPr>
            <w:r>
              <w:t xml:space="preserve">Per annum</w:t>
            </w:r>
          </w:p>
        </w:tc>
        <w:tc>
          <w:tcPr/>
          <w:p>
            <w:pPr>
              <w:pStyle w:val="Compact"/>
              <w:jc w:val="left"/>
            </w:pPr>
            <w:r>
              <w:t xml:space="preserve">11,200.00</w:t>
            </w:r>
          </w:p>
        </w:tc>
        <w:tc>
          <w:tcPr/>
          <w:p>
            <w:pPr>
              <w:pStyle w:val="Compact"/>
              <w:jc w:val="left"/>
            </w:pPr>
            <w:r>
              <w:t xml:space="preserve">1.0</w:t>
            </w:r>
          </w:p>
        </w:tc>
        <w:tc>
          <w:tcPr/>
          <w:p>
            <w:pPr>
              <w:pStyle w:val="Compact"/>
              <w:jc w:val="left"/>
            </w:pPr>
            <w:r>
              <w:t xml:space="preserve">11,200.00</w:t>
            </w:r>
          </w:p>
        </w:tc>
      </w:tr>
      <w:tr>
        <w:tc>
          <w:tcPr/>
          <w:p>
            <w:pPr>
              <w:pStyle w:val="Compact"/>
              <w:jc w:val="left"/>
            </w:pPr>
            <w:r>
              <w:t xml:space="preserve">Onboarding, Compliance Setup, and Initial Training</w:t>
            </w:r>
          </w:p>
        </w:tc>
        <w:tc>
          <w:tcPr/>
          <w:p>
            <w:pPr>
              <w:pStyle w:val="Compact"/>
              <w:jc w:val="left"/>
            </w:pPr>
            <w:r>
              <w:t xml:space="preserve">One-off</w:t>
            </w:r>
          </w:p>
        </w:tc>
        <w:tc>
          <w:tcPr/>
          <w:p>
            <w:pPr>
              <w:pStyle w:val="Compact"/>
              <w:jc w:val="left"/>
            </w:pPr>
            <w:r>
              <w:t xml:space="preserve">3,500.00</w:t>
            </w:r>
          </w:p>
        </w:tc>
        <w:tc>
          <w:tcPr/>
          <w:p>
            <w:pPr>
              <w:pStyle w:val="Compact"/>
              <w:jc w:val="left"/>
            </w:pPr>
            <w:r>
              <w:t xml:space="preserve">1.0</w:t>
            </w:r>
          </w:p>
        </w:tc>
        <w:tc>
          <w:tcPr/>
          <w:p>
            <w:pPr>
              <w:pStyle w:val="Compact"/>
              <w:jc w:val="left"/>
            </w:pPr>
            <w:r>
              <w:t xml:space="preserve">3,500.00</w:t>
            </w:r>
          </w:p>
        </w:tc>
      </w:tr>
      <w:tr>
        <w:tc>
          <w:tcPr>
            <w:gridSpan w:val="4"/>
          </w:tcPr>
          <w:p>
            <w:pPr>
              <w:pStyle w:val="Compact"/>
              <w:jc w:val="left"/>
            </w:pPr>
            <w:r>
              <w:t xml:space="preserve">TOTAL ESTIMATED ANNUAL COST (NZD, exclusive of GST)</w:t>
            </w:r>
          </w:p>
        </w:tc>
        <w:tc>
          <w:tcPr/>
          <w:p>
            <w:pPr>
              <w:pStyle w:val="Compact"/>
              <w:jc w:val="left"/>
            </w:pPr>
            <w:r>
              <w:t xml:space="preserve">154,360.00</w:t>
            </w:r>
          </w:p>
        </w:tc>
      </w:tr>
      <w:tr>
        <w:tc>
          <w:tcPr>
            <w:gridSpan w:val="4"/>
          </w:tcPr>
          <w:p>
            <w:pPr>
              <w:pStyle w:val="Compact"/>
              <w:jc w:val="left"/>
            </w:pPr>
            <w:r>
              <w:t xml:space="preserve">Goods and Services Tax (GST) at 15%</w:t>
            </w:r>
          </w:p>
        </w:tc>
        <w:tc>
          <w:tcPr/>
          <w:p>
            <w:pPr>
              <w:pStyle w:val="Compact"/>
              <w:jc w:val="left"/>
            </w:pPr>
            <w:r>
              <w:t xml:space="preserve">23,154.00</w:t>
            </w:r>
          </w:p>
        </w:tc>
      </w:tr>
      <w:tr>
        <w:tc>
          <w:tcPr>
            <w:gridSpan w:val="4"/>
          </w:tcPr>
          <w:p>
            <w:pPr>
              <w:pStyle w:val="Compact"/>
              <w:jc w:val="left"/>
            </w:pPr>
            <w:r>
              <w:t xml:space="preserve">GRAND TOTAL (NZD, inclusive of GST)</w:t>
            </w:r>
          </w:p>
        </w:tc>
        <w:tc>
          <w:tcPr/>
          <w:p>
            <w:pPr>
              <w:pStyle w:val="Compact"/>
              <w:jc w:val="left"/>
            </w:pPr>
            <w:r>
              <w:t xml:space="preserve">177,514.00</w:t>
            </w:r>
          </w:p>
        </w:tc>
      </w:tr>
    </w:tbl>
    <w:p>
      <w:pPr>
        <w:pStyle w:val="BodyText"/>
      </w:pPr>
      <w:r>
        <w:rPr>
          <w:iCs/>
          <w:i/>
        </w:rPr>
        <w:t xml:space="preserve">Note: All rates in this Quotation Estimate are subject to review at the twelve-month anniversary of the contract. Any adjustment will be communicated in writing no fewer than thirty (30) days prior to the renewal date. The Financial Analyst's base salary is benchmarked against the 2025 New Zealand Auckland professional services salary survey conducted by the New Zealand Institute of Chartered Accountants.</w:t>
      </w:r>
    </w:p>
    <w:bookmarkEnd w:id="28"/>
    <w:bookmarkStart w:id="29" w:name="terms-and-conditions"/>
    <w:p>
      <w:pPr>
        <w:pStyle w:val="Heading2"/>
      </w:pPr>
      <w:r>
        <w:t xml:space="preserve">5. Terms and Conditions</w:t>
      </w:r>
    </w:p>
    <w:p>
      <w:pPr>
        <w:numPr>
          <w:ilvl w:val="0"/>
          <w:numId w:val="1005"/>
        </w:numPr>
        <w:pStyle w:val="Compact"/>
      </w:pPr>
      <w:r>
        <w:rPr>
          <w:bCs/>
          <w:b/>
        </w:rPr>
        <w:t xml:space="preserve">Acceptance:</w:t>
      </w:r>
      <w:r>
        <w:t xml:space="preserve"> </w:t>
      </w:r>
      <w:r>
        <w:t xml:space="preserve">This Quotation Estimate shall be deemed accepted upon written signature by an authorised representative of the client organisation. Upon acceptance, a formal Service Agreement will be executed within five (5) business days.</w:t>
      </w:r>
    </w:p>
    <w:p>
      <w:pPr>
        <w:numPr>
          <w:ilvl w:val="0"/>
          <w:numId w:val="1005"/>
        </w:numPr>
        <w:pStyle w:val="Compact"/>
      </w:pPr>
      <w:r>
        <w:rPr>
          <w:bCs/>
          <w:b/>
        </w:rPr>
        <w:t xml:space="preserve">Payment Terms:</w:t>
      </w:r>
      <w:r>
        <w:t xml:space="preserve"> </w:t>
      </w:r>
      <w:r>
        <w:t xml:space="preserve">Invoices will be issued monthly in arrears. Payment is due within fourteen (14) calendar days of the invoice date via bank transfer to the account details specified on each invoice. Late payments will attract interest at the rate prescribed under the New Zealand Late Payment of Commercial Debts Interest Rate Act 1998.</w:t>
      </w:r>
    </w:p>
    <w:p>
      <w:pPr>
        <w:numPr>
          <w:ilvl w:val="0"/>
          <w:numId w:val="1005"/>
        </w:numPr>
        <w:pStyle w:val="Compact"/>
      </w:pPr>
      <w:r>
        <w:rPr>
          <w:bCs/>
          <w:b/>
        </w:rPr>
        <w:t xml:space="preserve">Working Hours and Location:</w:t>
      </w:r>
      <w:r>
        <w:t xml:space="preserve"> </w:t>
      </w:r>
      <w:r>
        <w:t xml:space="preserve">The Financial Analyst will operate on a hybrid model, attending the client's New Zealand Auckland office a minimum of three (3) days per week and working remotely for the remaining two (2) days. Standard working hours are 8:30 AM to 5:00 PM, Monday to Friday, New Zealand Standard Time (NZST) or New Zealand Daylight Time (NZDT).</w:t>
      </w:r>
    </w:p>
    <w:p>
      <w:pPr>
        <w:numPr>
          <w:ilvl w:val="0"/>
          <w:numId w:val="1005"/>
        </w:numPr>
        <w:pStyle w:val="Compact"/>
      </w:pPr>
      <w:r>
        <w:rPr>
          <w:bCs/>
          <w:b/>
        </w:rPr>
        <w:t xml:space="preserve">Confidentiality and Data Protection:</w:t>
      </w:r>
      <w:r>
        <w:t xml:space="preserve"> </w:t>
      </w:r>
      <w:r>
        <w:t xml:space="preserve">The Financial Analyst is bound by strict confidentiality obligations in accordance with the New Zealand Privacy Act 2020. All client financial data, proprietary information, and trade secrets will be handled in full compliance with this legislation and the terms of the executed Non-Disclosure Agreement (NDA).</w:t>
      </w:r>
    </w:p>
    <w:p>
      <w:pPr>
        <w:numPr>
          <w:ilvl w:val="0"/>
          <w:numId w:val="1005"/>
        </w:numPr>
        <w:pStyle w:val="Compact"/>
      </w:pPr>
      <w:r>
        <w:rPr>
          <w:bCs/>
          <w:b/>
        </w:rPr>
        <w:t xml:space="preserve">Termination:</w:t>
      </w:r>
      <w:r>
        <w:t xml:space="preserve"> </w:t>
      </w:r>
      <w:r>
        <w:t xml:space="preserve">Either party may terminate this engagement with thirty (30) days' written notice. In the event of termination, all work in progress will be handed over, and a final settlement invoice will be issued for services rendered up to the termination date.</w:t>
      </w:r>
    </w:p>
    <w:p>
      <w:pPr>
        <w:numPr>
          <w:ilvl w:val="0"/>
          <w:numId w:val="1005"/>
        </w:numPr>
        <w:pStyle w:val="Compact"/>
      </w:pPr>
      <w:r>
        <w:rPr>
          <w:bCs/>
          <w:b/>
        </w:rPr>
        <w:t xml:space="preserve">Warranties:</w:t>
      </w:r>
      <w:r>
        <w:t xml:space="preserve"> </w:t>
      </w:r>
      <w:r>
        <w:t xml:space="preserve">Meridian Advisory Group Ltd warrants that the Financial Analyst engaged under this Quotation Estimate will perform all duties with the skill, care, and diligence expected of a reasonably competent financial professional operating in New Zealand Auckland.</w:t>
      </w:r>
    </w:p>
    <w:p>
      <w:pPr>
        <w:numPr>
          <w:ilvl w:val="0"/>
          <w:numId w:val="1005"/>
        </w:numPr>
        <w:pStyle w:val="Compact"/>
      </w:pPr>
      <w:r>
        <w:rPr>
          <w:bCs/>
          <w:b/>
        </w:rPr>
        <w:t xml:space="preserve">Governing Law:</w:t>
      </w:r>
      <w:r>
        <w:t xml:space="preserve"> </w:t>
      </w:r>
      <w:r>
        <w:t xml:space="preserve">This Quotation Estimate and any resulting contract shall be governed by and construed in accordance with the laws of New Zealand. Any disputes shall be resolved through the District Court of Auckland, New Zealand.</w:t>
      </w:r>
    </w:p>
    <w:p>
      <w:pPr>
        <w:numPr>
          <w:ilvl w:val="0"/>
          <w:numId w:val="1005"/>
        </w:numPr>
        <w:pStyle w:val="Compact"/>
      </w:pPr>
      <w:r>
        <w:rPr>
          <w:bCs/>
          <w:b/>
        </w:rPr>
        <w:t xml:space="preserve">Validity:</w:t>
      </w:r>
      <w:r>
        <w:t xml:space="preserve"> </w:t>
      </w:r>
      <w:r>
        <w:t xml:space="preserve">This Quotation Estimate is valid for a period of ninety (90) days from the date of issue. After this period, all rates and terms are subject to reconfirmation in writing.</w:t>
      </w:r>
    </w:p>
    <w:bookmarkEnd w:id="29"/>
    <w:bookmarkStart w:id="30" w:name="acceptance-and-authorisation"/>
    <w:p>
      <w:pPr>
        <w:pStyle w:val="Heading2"/>
      </w:pPr>
      <w:r>
        <w:t xml:space="preserve">6. Acceptance and Authorisation</w:t>
      </w:r>
    </w:p>
    <w:p>
      <w:pPr>
        <w:pStyle w:val="FirstParagraph"/>
      </w:pPr>
      <w:r>
        <w:t xml:space="preserve">By signing below, the client confirms that they have read, understood, and accepted all terms, conditions, and cost figures set out in this Quotation Estimate for the engagement of a Financial Analyst in New Zealand Auckland.</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Meridian Advisory Group Ltd:</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Meridian Advisory Group Ltd | 145 Federal Street, Auckland CBD, Auckland 1010, New Zealand</w:t>
      </w:r>
    </w:p>
    <w:p>
      <w:pPr>
        <w:pStyle w:val="BodyText"/>
      </w:pPr>
      <w:r>
        <w:t xml:space="preserve">Phone: +64 9 555 0142 | Email: enquiries@meridianadvisory.co.nz | NZBN: 942904123456789</w:t>
      </w:r>
    </w:p>
    <w:p>
      <w:pPr>
        <w:pStyle w:val="BodyText"/>
      </w:pPr>
      <w:r>
        <w:t xml:space="preserve">This Quotation Estimate is a confidential document intended solely for the named recipient. Unauthorised distribution is prohibited.</w:t>
      </w:r>
    </w:p>
    <w:p>
      <w:pPr>
        <w:pStyle w:val="BodyText"/>
      </w:pPr>
      <w:r>
        <w:t xml:space="preserve">Document Reference: QE-FA-AKL-2025-0417 | Version 1.0</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New Zealand Auckland</dc:title>
  <dc:creator/>
  <dc:language>en</dc:language>
  <cp:keywords/>
  <dcterms:created xsi:type="dcterms:W3CDTF">2026-10-10T08:13:24Z</dcterms:created>
  <dcterms:modified xsi:type="dcterms:W3CDTF">2026-10-10T08:13:24Z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