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Financial Analyst Services — Russia Moscow</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QTE-RU-MOW-2025-0487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Capital Bridge Consulting LLC, 12 Tverskaya Street, Moscow, 125009, Russian Federation</w:t>
            </w:r>
          </w:p>
        </w:tc>
      </w:tr>
      <w:tr>
        <w:tc>
          <w:tcPr/>
          <w:p>
            <w:pPr>
              <w:pStyle w:val="Compact"/>
              <w:jc w:val="left"/>
            </w:pPr>
            <w:r>
              <w:t xml:space="preserve">Prepared For:</w:t>
            </w:r>
          </w:p>
        </w:tc>
        <w:tc>
          <w:tcPr/>
          <w:p>
            <w:pPr>
              <w:pStyle w:val="Compact"/>
              <w:jc w:val="left"/>
            </w:pPr>
            <w:r>
              <w:t xml:space="preserve">Client Name / Organization, Address in Russia Moscow</w:t>
            </w:r>
          </w:p>
        </w:tc>
      </w:tr>
      <w:tr>
        <w:tc>
          <w:tcPr/>
          <w:p>
            <w:pPr>
              <w:pStyle w:val="Compact"/>
              <w:jc w:val="left"/>
            </w:pPr>
            <w:r>
              <w:t xml:space="preserve">Currency:</w:t>
            </w:r>
          </w:p>
        </w:tc>
        <w:tc>
          <w:tcPr/>
          <w:p>
            <w:pPr>
              <w:pStyle w:val="Compact"/>
              <w:jc w:val="left"/>
            </w:pPr>
            <w:r>
              <w:t xml:space="preserve">Russian Ruble (RUB / &amp;rub;) — with USD equivalent noted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Capital Bridge Consulting LLC to provide a comprehensive, itemized cost breakdown for the engagement of a qualified</w:t>
      </w:r>
      <w:r>
        <w:t xml:space="preserve"> </w:t>
      </w:r>
      <w:r>
        <w:rPr>
          <w:bCs/>
          <w:b/>
        </w:rPr>
        <w:t xml:space="preserve">Financial Analyst</w:t>
      </w:r>
      <w:r>
        <w:t xml:space="preserve"> </w:t>
      </w:r>
      <w:r>
        <w:t xml:space="preserve">to support the client's operations within</w:t>
      </w:r>
      <w:r>
        <w:t xml:space="preserve"> </w:t>
      </w:r>
      <w:r>
        <w:rPr>
          <w:bCs/>
          <w:b/>
        </w:rPr>
        <w:t xml:space="preserve">Russia Moscow</w:t>
      </w:r>
      <w:r>
        <w:t xml:space="preserve">. The scope of work described herein covers the full spectrum of financial analysis services, including but not limited to financial modeling, variance analysis, budgeting and forecasting, investment evaluation, and regulatory reporting in compliance with the Federal Law of the Russian Federation on Accounting (No. 402-FZ) and the standards set forth by the Ministry of Finance of the Russian Federation. This Quotation Estimate is binding upon acceptance and remains valid for the period stated above.</w:t>
      </w:r>
    </w:p>
    <w:bookmarkEnd w:id="21"/>
    <w:bookmarkStart w:id="22" w:name="Xc71ca9f107dc19ad1a35be8656fe3f8577b2b82"/>
    <w:p>
      <w:pPr>
        <w:pStyle w:val="Heading2"/>
      </w:pPr>
      <w:r>
        <w:t xml:space="preserve">2. Scope of Services — Financial Analyst Engagement</w:t>
      </w:r>
    </w:p>
    <w:p>
      <w:pPr>
        <w:pStyle w:val="FirstParagraph"/>
      </w:pPr>
      <w:r>
        <w:t xml:space="preserve">The Financial Analyst engaged under this Quotation Estimate will be a certified professional (CPA or CFA designation) with a minimum of seven (7) years of experience in corporate finance, specifically within the Russian market. The analyst will be physically based in</w:t>
      </w:r>
      <w:r>
        <w:t xml:space="preserve"> </w:t>
      </w:r>
      <w:r>
        <w:rPr>
          <w:bCs/>
          <w:b/>
        </w:rPr>
        <w:t xml:space="preserve">Russia Moscow</w:t>
      </w:r>
      <w:r>
        <w:t xml:space="preserve"> </w:t>
      </w:r>
      <w:r>
        <w:t xml:space="preserve">and will report directly to the client's Chief Financial Officer. The following services are included in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Monthly financial statement preparation, reconciliation, and variance analysis for all business units operating in Russia Moscow</w:t>
            </w:r>
          </w:p>
        </w:tc>
        <w:tc>
          <w:tcPr/>
          <w:p>
            <w:pPr>
              <w:pStyle w:val="Compact"/>
              <w:jc w:val="left"/>
            </w:pPr>
            <w:r>
              <w:t xml:space="preserve">12 months</w:t>
            </w:r>
          </w:p>
        </w:tc>
        <w:tc>
          <w:tcPr/>
          <w:p>
            <w:pPr>
              <w:pStyle w:val="Compact"/>
              <w:jc w:val="left"/>
            </w:pPr>
            <w:r>
              <w:t xml:space="preserve">185,000 / mo</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Development and maintenance of 3-year financial models (DCF, sensitivity, scenario analysis) for capital allocation decisions</w:t>
            </w:r>
          </w:p>
        </w:tc>
        <w:tc>
          <w:tcPr/>
          <w:p>
            <w:pPr>
              <w:pStyle w:val="Compact"/>
              <w:jc w:val="left"/>
            </w:pPr>
            <w:r>
              <w:t xml:space="preserve">12 months</w:t>
            </w:r>
          </w:p>
        </w:tc>
        <w:tc>
          <w:tcPr/>
          <w:p>
            <w:pPr>
              <w:pStyle w:val="Compact"/>
              <w:jc w:val="left"/>
            </w:pPr>
            <w:r>
              <w:t xml:space="preserve">220,000 / mo</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Quarterly budgeting and rolling forecast preparation in coordination with departmental heads across the Moscow office</w:t>
            </w:r>
          </w:p>
        </w:tc>
        <w:tc>
          <w:tcPr/>
          <w:p>
            <w:pPr>
              <w:pStyle w:val="Compact"/>
              <w:jc w:val="left"/>
            </w:pPr>
            <w:r>
              <w:t xml:space="preserve">12 months</w:t>
            </w:r>
          </w:p>
        </w:tc>
        <w:tc>
          <w:tcPr/>
          <w:p>
            <w:pPr>
              <w:pStyle w:val="Compact"/>
              <w:jc w:val="left"/>
            </w:pPr>
            <w:r>
              <w:t xml:space="preserve">150,000 / mo</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Investment appraisal and due diligence support for M&amp;A transactions and joint ventures within the Russian Federation</w:t>
            </w:r>
          </w:p>
        </w:tc>
        <w:tc>
          <w:tcPr/>
          <w:p>
            <w:pPr>
              <w:pStyle w:val="Compact"/>
              <w:jc w:val="left"/>
            </w:pPr>
            <w:r>
              <w:t xml:space="preserve">Ad hoc (est. 60 hrs/yr)</w:t>
            </w:r>
          </w:p>
        </w:tc>
        <w:tc>
          <w:tcPr/>
          <w:p>
            <w:pPr>
              <w:pStyle w:val="Compact"/>
              <w:jc w:val="left"/>
            </w:pPr>
            <w:r>
              <w:t xml:space="preserve">4,500 / hr</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Regulatory and tax compliance reporting (RFS, IFRS reconciliation) filed with the Federal Tax Service of Russia</w:t>
            </w:r>
          </w:p>
        </w:tc>
        <w:tc>
          <w:tcPr/>
          <w:p>
            <w:pPr>
              <w:pStyle w:val="Compact"/>
              <w:jc w:val="left"/>
            </w:pPr>
            <w:r>
              <w:t xml:space="preserve">12 months</w:t>
            </w:r>
          </w:p>
        </w:tc>
        <w:tc>
          <w:tcPr/>
          <w:p>
            <w:pPr>
              <w:pStyle w:val="Compact"/>
              <w:jc w:val="left"/>
            </w:pPr>
            <w:r>
              <w:t xml:space="preserve">130,000 / mo</w:t>
            </w:r>
          </w:p>
        </w:tc>
        <w:tc>
          <w:tcPr/>
          <w:p>
            <w:pPr>
              <w:pStyle w:val="Compact"/>
              <w:jc w:val="left"/>
            </w:pPr>
            <w:r>
              <w:t xml:space="preserve">1,560,000</w:t>
            </w:r>
          </w:p>
        </w:tc>
      </w:tr>
      <w:tr>
        <w:tc>
          <w:tcPr/>
          <w:p>
            <w:pPr>
              <w:pStyle w:val="Compact"/>
              <w:jc w:val="left"/>
            </w:pPr>
            <w:r>
              <w:t xml:space="preserve">6</w:t>
            </w:r>
          </w:p>
        </w:tc>
        <w:tc>
          <w:tcPr/>
          <w:p>
            <w:pPr>
              <w:pStyle w:val="Compact"/>
              <w:jc w:val="left"/>
            </w:pPr>
            <w:r>
              <w:t xml:space="preserve">Ad-hoc management reporting, KPI dashboards, and board presentation support (minimum 2 sessions per month)</w:t>
            </w:r>
          </w:p>
        </w:tc>
        <w:tc>
          <w:tcPr/>
          <w:p>
            <w:pPr>
              <w:pStyle w:val="Compact"/>
              <w:jc w:val="left"/>
            </w:pPr>
            <w:r>
              <w:t xml:space="preserve">12 months</w:t>
            </w:r>
          </w:p>
        </w:tc>
        <w:tc>
          <w:tcPr/>
          <w:p>
            <w:pPr>
              <w:pStyle w:val="Compact"/>
              <w:jc w:val="left"/>
            </w:pPr>
            <w:r>
              <w:t xml:space="preserve">95,000 / mo</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Onboarding, knowledge transfer, and integration with existing ERP systems (1C:Enterprise, SAP) at the Moscow headquarters</w:t>
            </w:r>
          </w:p>
        </w:tc>
        <w:tc>
          <w:tcPr/>
          <w:p>
            <w:pPr>
              <w:pStyle w:val="Compact"/>
              <w:jc w:val="left"/>
            </w:pPr>
            <w:r>
              <w:t xml:space="preserve">One-time (3 weeks)</w:t>
            </w:r>
          </w:p>
        </w:tc>
        <w:tc>
          <w:tcPr/>
          <w:p>
            <w:pPr>
              <w:pStyle w:val="Compact"/>
              <w:jc w:val="left"/>
            </w:pPr>
            <w:r>
              <w:t xml:space="preserve">Flat fee</w:t>
            </w:r>
          </w:p>
        </w:tc>
        <w:tc>
          <w:tcPr/>
          <w:p>
            <w:pPr>
              <w:pStyle w:val="Compact"/>
              <w:jc w:val="left"/>
            </w:pPr>
            <w:r>
              <w:t xml:space="preserve">450,000</w:t>
            </w:r>
          </w:p>
        </w:tc>
      </w:tr>
      <w:tr>
        <w:tc>
          <w:tcPr>
            <w:gridSpan w:val="4"/>
          </w:tcPr>
          <w:p>
            <w:pPr>
              <w:pStyle w:val="Compact"/>
              <w:jc w:val="right"/>
            </w:pPr>
            <w:r>
              <w:t xml:space="preserve">TOTAL ESTIMATED COST (12-month engagement):</w:t>
            </w:r>
          </w:p>
        </w:tc>
        <w:tc>
          <w:tcPr/>
          <w:p>
            <w:pPr>
              <w:pStyle w:val="Compact"/>
              <w:jc w:val="left"/>
            </w:pPr>
            <w:r>
              <w:t xml:space="preserve">&amp;rub; 10,080,000</w:t>
            </w:r>
          </w:p>
        </w:tc>
      </w:tr>
      <w:tr>
        <w:tc>
          <w:tcPr>
            <w:gridSpan w:val="4"/>
          </w:tcPr>
          <w:p>
            <w:pPr>
              <w:pStyle w:val="Compact"/>
              <w:jc w:val="right"/>
            </w:pPr>
            <w:r>
              <w:t xml:space="preserve">USD Equivalent (at 92.50 RUB/USD):</w:t>
            </w:r>
          </w:p>
        </w:tc>
        <w:tc>
          <w:tcPr/>
          <w:p>
            <w:pPr>
              <w:pStyle w:val="Compact"/>
              <w:jc w:val="left"/>
            </w:pPr>
            <w:r>
              <w:t xml:space="preserve">USD 108,973</w:t>
            </w:r>
          </w:p>
        </w:tc>
      </w:tr>
    </w:tbl>
    <w:bookmarkEnd w:id="22"/>
    <w:bookmarkStart w:id="23" w:name="additional-costs-and-assumptions"/>
    <w:p>
      <w:pPr>
        <w:pStyle w:val="Heading2"/>
      </w:pPr>
      <w:r>
        <w:t xml:space="preserve">3. Additional Costs and Assumptions</w:t>
      </w:r>
    </w:p>
    <w:p>
      <w:pPr>
        <w:numPr>
          <w:ilvl w:val="0"/>
          <w:numId w:val="1001"/>
        </w:numPr>
        <w:pStyle w:val="Compact"/>
      </w:pPr>
      <w:r>
        <w:t xml:space="preserve">All rates quoted in this Quotation Estimate are exclusive of Value Added Tax (VAT / НДС) at the prevailing rate of 20% as per the Tax Code of the Russian Federation. VAT will be added to the final invoice upon acceptance.</w:t>
      </w:r>
    </w:p>
    <w:p>
      <w:pPr>
        <w:numPr>
          <w:ilvl w:val="0"/>
          <w:numId w:val="1001"/>
        </w:numPr>
        <w:pStyle w:val="Compact"/>
      </w:pPr>
      <w:r>
        <w:t xml:space="preserve">Travel expenses within the Moscow metropolitan area are included. Travel to other regions of the Russian Federation will be billed at actual cost plus a 10% administrative surcharge.</w:t>
      </w:r>
    </w:p>
    <w:p>
      <w:pPr>
        <w:numPr>
          <w:ilvl w:val="0"/>
          <w:numId w:val="1001"/>
        </w:numPr>
        <w:pStyle w:val="Compact"/>
      </w:pPr>
      <w:r>
        <w:t xml:space="preserve">The Financial Analyst will work standard business hours (Monday to Friday, 09:00–18:00 Moscow Time, MSK/UTC+3). Overtime beyond 48 hours per week will be compensated at 1.5× the hourly rate.</w:t>
      </w:r>
    </w:p>
    <w:p>
      <w:pPr>
        <w:numPr>
          <w:ilvl w:val="0"/>
          <w:numId w:val="1001"/>
        </w:numPr>
        <w:pStyle w:val="Compact"/>
      </w:pPr>
      <w:r>
        <w:t xml:space="preserve">Software licenses (Bloomberg Terminal, Refinitiv, 1C:Enterprise modules) are assumed to be provided by the client. If the client requires the consultant to procure licenses, a 15% procurement fee will apply.</w:t>
      </w:r>
    </w:p>
    <w:p>
      <w:pPr>
        <w:numPr>
          <w:ilvl w:val="0"/>
          <w:numId w:val="1001"/>
        </w:numPr>
        <w:pStyle w:val="Compact"/>
      </w:pPr>
      <w:r>
        <w:t xml:space="preserve">This Quotation Estimate assumes a single Financial Analyst engagement. If the client requires a team of two or more analysts, a 10% volume discount will be applied to the combined subtotal.</w:t>
      </w:r>
    </w:p>
    <w:bookmarkEnd w:id="23"/>
    <w:bookmarkStart w:id="24" w:name="payment-terms"/>
    <w:p>
      <w:pPr>
        <w:pStyle w:val="Heading2"/>
      </w:pPr>
      <w:r>
        <w:t xml:space="preserve">4. Payment Terms</w:t>
      </w:r>
    </w:p>
    <w:p>
      <w:pPr>
        <w:numPr>
          <w:ilvl w:val="0"/>
          <w:numId w:val="1002"/>
        </w:numPr>
        <w:pStyle w:val="Compact"/>
      </w:pPr>
      <w:r>
        <w:t xml:space="preserve">Payment is due within 15 (fifteen) business days from the date of invoice issuance, via bank transfer to the account of Capital Bridge Consulting LLC at Sberbank, Moscow, Russia (BIC: SABRRUMM).</w:t>
      </w:r>
    </w:p>
    <w:p>
      <w:pPr>
        <w:numPr>
          <w:ilvl w:val="0"/>
          <w:numId w:val="1002"/>
        </w:numPr>
        <w:pStyle w:val="Compact"/>
      </w:pPr>
      <w:r>
        <w:t xml:space="preserve">A 25% advance payment is required upon signing the service agreement to secure the Financial Analyst's allocation.</w:t>
      </w:r>
    </w:p>
    <w:p>
      <w:pPr>
        <w:numPr>
          <w:ilvl w:val="0"/>
          <w:numId w:val="1002"/>
        </w:numPr>
        <w:pStyle w:val="Compact"/>
      </w:pPr>
      <w:r>
        <w:t xml:space="preserve">Remaining payments will be invoiced monthly in arrears, with a detailed timesheet and deliverables summary attached.</w:t>
      </w:r>
    </w:p>
    <w:p>
      <w:pPr>
        <w:numPr>
          <w:ilvl w:val="0"/>
          <w:numId w:val="1002"/>
        </w:numPr>
        <w:pStyle w:val="Compact"/>
      </w:pPr>
      <w:r>
        <w:t xml:space="preserve">Late payments will accrue interest at the key rate of the Central Bank of the Russian Federation plus 2 percentage points per annum.</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After expiry, rates may be revised to reflect market conditions in Russia Moscow.</w:t>
      </w:r>
    </w:p>
    <w:p>
      <w:pPr>
        <w:numPr>
          <w:ilvl w:val="0"/>
          <w:numId w:val="1003"/>
        </w:numPr>
        <w:pStyle w:val="Compact"/>
      </w:pPr>
      <w:r>
        <w:t xml:space="preserve">Confidentiality: The Financial Analyst will sign a Non-Disclosure Agreement (NDA) compliant with Federal Law No. 152-FZ on Personal Data and the Civil Code of the Russian Federation before commencing work.</w:t>
      </w:r>
    </w:p>
    <w:p>
      <w:pPr>
        <w:numPr>
          <w:ilvl w:val="0"/>
          <w:numId w:val="1003"/>
        </w:numPr>
        <w:pStyle w:val="Compact"/>
      </w:pPr>
      <w:r>
        <w:t xml:space="preserve">Termination: Either party may terminate the engagement with 30 days' written notice. In the event of early termination, all work completed up to the termination date shall be invoiced in full.</w:t>
      </w:r>
    </w:p>
    <w:p>
      <w:pPr>
        <w:numPr>
          <w:ilvl w:val="0"/>
          <w:numId w:val="1003"/>
        </w:numPr>
        <w:pStyle w:val="Compact"/>
      </w:pPr>
      <w:r>
        <w:t xml:space="preserve">Liability: The total liability of Capital Bridge Consulting LLC under this Quotation Estimate shall not exceed the total fees paid by the client for the relevant period.</w:t>
      </w:r>
    </w:p>
    <w:p>
      <w:pPr>
        <w:numPr>
          <w:ilvl w:val="0"/>
          <w:numId w:val="1003"/>
        </w:numPr>
        <w:pStyle w:val="Compact"/>
      </w:pPr>
      <w:r>
        <w:t xml:space="preserve">Governing Law: This Quotation Estimate and any resulting contract shall be governed by and construed in accordance with the laws of the Russian Federation. Disputes shall be resolved by the Arbitration Court of the City of Moscow.</w:t>
      </w:r>
    </w:p>
    <w:p>
      <w:pPr>
        <w:numPr>
          <w:ilvl w:val="0"/>
          <w:numId w:val="1003"/>
        </w:numPr>
        <w:pStyle w:val="Compact"/>
      </w:pPr>
      <w:r>
        <w:t xml:space="preserve">Force Majeure: Neither party shall be liable for failure to perform obligations due to events beyond reasonable control, including but not limited to sanctions-related disruptions, natural disasters, or government-mandated shutdowns in Russia Moscow.</w:t>
      </w:r>
    </w:p>
    <w:p>
      <w:pPr>
        <w:pStyle w:val="FirstParagraph"/>
      </w:pPr>
      <w:r>
        <w:rPr>
          <w:bCs/>
          <w:b/>
        </w:rPr>
        <w:t xml:space="preserve">Note:</w:t>
      </w:r>
      <w:r>
        <w:t xml:space="preserve"> </w:t>
      </w:r>
      <w:r>
        <w:t xml:space="preserve">This Quotation Estimate is a non-binding document until formally accepted by both parties through the execution of a Service Agreement. All figures are estimates based on current market rates in Russia Moscow as of June 2025 and are subject to adjustment upon final contract negotiation.</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Financial Analyst services in Russia Moscow and agrees to the terms, conditions, and pricing outlined herein. This acceptance constitutes a request to issue a formal Service Agreement for execution.</w:t>
      </w:r>
    </w:p>
    <w:p>
      <w:pPr>
        <w:pStyle w:val="BodyText"/>
      </w:pPr>
      <w:r>
        <w:rPr>
          <w:bCs/>
          <w:b/>
        </w:rPr>
        <w:t xml:space="preserve">For Capital Bridge Consulting LLC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Russia Moscow</dc:title>
  <dc:creator/>
  <dc:language>en</dc:language>
  <cp:keywords/>
  <dcterms:created xsi:type="dcterms:W3CDTF">2026-10-10T01:22:24Z</dcterms:created>
  <dcterms:modified xsi:type="dcterms:W3CDTF">2026-10-10T01:22:24Z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