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Financial Analyst Services — Russia Saint Petersburg</w:t>
      </w:r>
    </w:p>
    <w:p>
      <w:pPr>
        <w:pStyle w:val="BodyText"/>
      </w:pPr>
      <w:r>
        <w:t xml:space="preserve">Document Ref: QTE-SPB-2025-0472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QTE-SPB-2025-0472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 (Client)</w:t>
            </w:r>
          </w:p>
        </w:tc>
        <w:tc>
          <w:tcPr/>
          <w:p>
            <w:pPr>
              <w:pStyle w:val="Compact"/>
              <w:jc w:val="left"/>
            </w:pPr>
            <w:r>
              <w:t xml:space="preserve">Client Organization Name, 44 Liteyny Avenue, Saint Petersburg, 191011, Russian Federation</w:t>
            </w:r>
          </w:p>
        </w:tc>
      </w:tr>
      <w:tr>
        <w:tc>
          <w:tcPr/>
          <w:p>
            <w:pPr>
              <w:pStyle w:val="Compact"/>
              <w:jc w:val="left"/>
            </w:pPr>
            <w:r>
              <w:t xml:space="preserve">Prepared By (Provider)</w:t>
            </w:r>
          </w:p>
        </w:tc>
        <w:tc>
          <w:tcPr/>
          <w:p>
            <w:pPr>
              <w:pStyle w:val="Compact"/>
              <w:jc w:val="left"/>
            </w:pPr>
            <w:r>
              <w:t xml:space="preserve">Professional Staffing &amp; Advisory Group, 12 Nevsky Prospect, Saint Petersburg, 191025, Russian Federation</w:t>
            </w:r>
          </w:p>
        </w:tc>
      </w:tr>
      <w:tr>
        <w:tc>
          <w:tcPr/>
          <w:p>
            <w:pPr>
              <w:pStyle w:val="Compact"/>
              <w:jc w:val="left"/>
            </w:pPr>
            <w:r>
              <w:t xml:space="preserve">Position / Role</w:t>
            </w:r>
          </w:p>
        </w:tc>
        <w:tc>
          <w:tcPr/>
          <w:p>
            <w:pPr>
              <w:pStyle w:val="Compact"/>
              <w:jc w:val="left"/>
            </w:pPr>
            <w:r>
              <w:t xml:space="preserve">Financial Analyst (Full-Time, On-Site)</w:t>
            </w:r>
          </w:p>
        </w:tc>
      </w:tr>
      <w:tr>
        <w:tc>
          <w:tcPr/>
          <w:p>
            <w:pPr>
              <w:pStyle w:val="Compact"/>
              <w:jc w:val="left"/>
            </w:pPr>
            <w:r>
              <w:t xml:space="preserve">Work Location</w:t>
            </w:r>
          </w:p>
        </w:tc>
        <w:tc>
          <w:tcPr/>
          <w:p>
            <w:pPr>
              <w:pStyle w:val="Compact"/>
              <w:jc w:val="left"/>
            </w:pPr>
            <w:r>
              <w:t xml:space="preserve">Russia Saint Petersburg — Central Administrative District</w:t>
            </w:r>
          </w:p>
        </w:tc>
      </w:tr>
      <w:tr>
        <w:tc>
          <w:tcPr/>
          <w:p>
            <w:pPr>
              <w:pStyle w:val="Compact"/>
              <w:jc w:val="left"/>
            </w:pPr>
            <w:r>
              <w:t xml:space="preserve">Currency</w:t>
            </w:r>
          </w:p>
        </w:tc>
        <w:tc>
          <w:tcPr/>
          <w:p>
            <w:pPr>
              <w:pStyle w:val="Compact"/>
              <w:jc w:val="left"/>
            </w:pPr>
            <w:r>
              <w:t xml:space="preserve">Russian Ruble (RUB) / US Dollar (USD)</w:t>
            </w:r>
          </w:p>
        </w:tc>
      </w:tr>
    </w:tbl>
    <w:bookmarkStart w:id="21" w:name="purpose-of-this-quotation-estimate"/>
    <w:p>
      <w:pPr>
        <w:pStyle w:val="Heading2"/>
      </w:pPr>
      <w:r>
        <w:t xml:space="preserve">1. Purpose of This Quotation Estimate</w:t>
      </w:r>
    </w:p>
    <w:p>
      <w:pPr>
        <w:pStyle w:val="FirstParagraph"/>
      </w:pPr>
      <w:r>
        <w:t xml:space="preserve">This Quotation Estimate document has been prepared in response to the formal request for professional staffing services in the role of a</w:t>
      </w:r>
      <w:r>
        <w:t xml:space="preserve"> </w:t>
      </w:r>
      <w:r>
        <w:rPr>
          <w:bCs/>
          <w:b/>
        </w:rPr>
        <w:t xml:space="preserve">Financial Analyst</w:t>
      </w:r>
      <w:r>
        <w:t xml:space="preserve"> </w:t>
      </w:r>
      <w:r>
        <w:t xml:space="preserve">to be deployed at the client's operational headquarters located in</w:t>
      </w:r>
      <w:r>
        <w:t xml:space="preserve"> </w:t>
      </w:r>
      <w:r>
        <w:rPr>
          <w:bCs/>
          <w:b/>
        </w:rPr>
        <w:t xml:space="preserve">Russia Saint Petersburg</w:t>
      </w:r>
      <w:r>
        <w:t xml:space="preserve">. The purpose of this Quotation Estimate is to provide a comprehensive, transparent, and itemized breakdown of all costs associated with the recruitment, onboarding, and ongoing engagement of a qualified Financial Analyst professional. All figures presented herein are based on current market rates applicable to the Russia Saint Petersburg financial services sector as of the date of issue.</w:t>
      </w:r>
    </w:p>
    <w:bookmarkEnd w:id="21"/>
    <w:bookmarkStart w:id="22" w:name="scope-of-work-financial-analyst-role"/>
    <w:p>
      <w:pPr>
        <w:pStyle w:val="Heading2"/>
      </w:pPr>
      <w:r>
        <w:t xml:space="preserve">2. Scope of Work — Financial Analyst Role</w:t>
      </w:r>
    </w:p>
    <w:p>
      <w:pPr>
        <w:pStyle w:val="FirstParagraph"/>
      </w:pPr>
      <w:r>
        <w:t xml:space="preserve">The Financial Analyst position, as outlined in this Quotation Estimate, encompasses the following core responsibilities and deliverables to be performed within the Russia Saint Petersburg business environment:</w:t>
      </w:r>
    </w:p>
    <w:p>
      <w:pPr>
        <w:numPr>
          <w:ilvl w:val="0"/>
          <w:numId w:val="1001"/>
        </w:numPr>
        <w:pStyle w:val="Compact"/>
      </w:pPr>
      <w:r>
        <w:t xml:space="preserve">Preparation and maintenance of monthly, quarterly, and annual financial reports in compliance with Russian Accounting Standards (RAS) and International Financial Reporting Standards (IFRS).</w:t>
      </w:r>
    </w:p>
    <w:p>
      <w:pPr>
        <w:numPr>
          <w:ilvl w:val="0"/>
          <w:numId w:val="1001"/>
        </w:numPr>
        <w:pStyle w:val="Compact"/>
      </w:pPr>
      <w:r>
        <w:t xml:space="preserve">Development and monitoring of financial models, budgeting frameworks, and variance analyses for the client's operational divisions.</w:t>
      </w:r>
    </w:p>
    <w:p>
      <w:pPr>
        <w:numPr>
          <w:ilvl w:val="0"/>
          <w:numId w:val="1001"/>
        </w:numPr>
        <w:pStyle w:val="Compact"/>
      </w:pPr>
      <w:r>
        <w:t xml:space="preserve">Conducting cash flow forecasting, liquidity assessments, and working capital optimization studies specific to the Russia Saint Petersburg market conditions.</w:t>
      </w:r>
    </w:p>
    <w:p>
      <w:pPr>
        <w:numPr>
          <w:ilvl w:val="0"/>
          <w:numId w:val="1001"/>
        </w:numPr>
        <w:pStyle w:val="Compact"/>
      </w:pPr>
      <w:r>
        <w:t xml:space="preserve">Providing strategic financial insights, investment feasibility analyses, and risk assessments to the executive leadership team.</w:t>
      </w:r>
    </w:p>
    <w:p>
      <w:pPr>
        <w:numPr>
          <w:ilvl w:val="0"/>
          <w:numId w:val="1001"/>
        </w:numPr>
        <w:pStyle w:val="Compact"/>
      </w:pPr>
      <w:r>
        <w:t xml:space="preserve">Collaboration with internal audit, tax compliance, and treasury departments to ensure regulatory adherence under the jurisdiction of the Russian Federation.</w:t>
      </w:r>
    </w:p>
    <w:p>
      <w:pPr>
        <w:numPr>
          <w:ilvl w:val="0"/>
          <w:numId w:val="1001"/>
        </w:numPr>
        <w:pStyle w:val="Compact"/>
      </w:pPr>
      <w:r>
        <w:t xml:space="preserve">Utilization of advanced financial software including 1C:Enterprise, SAP Financial Suite, Microsoft Excel (advanced modeling), and Power BI for data visualization and reporting.</w:t>
      </w:r>
    </w:p>
    <w:p>
      <w:pPr>
        <w:numPr>
          <w:ilvl w:val="0"/>
          <w:numId w:val="1001"/>
        </w:numPr>
        <w:pStyle w:val="Compact"/>
      </w:pPr>
      <w:r>
        <w:t xml:space="preserve">Participation in due diligence processes for potential mergers, acquisitions, or joint ventures within the Russia Saint Petersburg commercial landscape.</w:t>
      </w:r>
    </w:p>
    <w:bookmarkEnd w:id="22"/>
    <w:bookmarkStart w:id="23" w:name="candidate-qualification-requirements"/>
    <w:p>
      <w:pPr>
        <w:pStyle w:val="Heading2"/>
      </w:pPr>
      <w:r>
        <w:t xml:space="preserve">3. Candidate Qualification Requirements</w:t>
      </w:r>
    </w:p>
    <w:p>
      <w:pPr>
        <w:pStyle w:val="FirstParagraph"/>
      </w:pPr>
      <w:r>
        <w:t xml:space="preserve">The Financial Analyst candidate identified through this Quotation Estimate must possess a minimum of a Master's degree in Finance, Economics, or a closely related discipline from an accredited institution. A minimum of five (5) years of progressive experience in financial analysis within the banking, insurance, or corporate finance sectors in Russia Saint Petersburg or equivalent international markets is required. Professional certifications such as CFA (Chartered Financial Analyst), ACCA, or CPA (Russian Federation) are strongly preferred. Fluency in Russian is mandatory, and professional proficiency in English is required for cross-border reporting obligations.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Recruitment &amp; Sourcing of Financial Analyst (Russia Saint Petersburg market)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Background Verification &amp; Reference Checks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Onboarding, Visa/Work Permit Processing (if applicable)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Monthly Salary &amp; Statutory Contributions (Financial Analyst, Russia Saint Petersburg)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Annual Performance Bonus (capped at 15% of base salary)</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Professional Development &amp; Certification Support (CFA/IFRS training)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Software Licenses &amp; Tooling (1C, SAP, Power BI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Administrative &amp; Compliance Management Fee (10% of subtotal)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472,500</w:t>
            </w:r>
          </w:p>
        </w:tc>
        <w:tc>
          <w:tcPr/>
          <w:p>
            <w:pPr>
              <w:pStyle w:val="Compact"/>
              <w:jc w:val="left"/>
            </w:pPr>
            <w:r>
              <w:t xml:space="preserve">472,500</w:t>
            </w:r>
          </w:p>
        </w:tc>
      </w:tr>
      <w:tr>
        <w:tc>
          <w:tcPr>
            <w:gridSpan w:val="4"/>
          </w:tcPr>
          <w:p>
            <w:pPr>
              <w:pStyle w:val="Compact"/>
              <w:jc w:val="left"/>
            </w:pPr>
            <w:r>
              <w:t xml:space="preserve">TOTAL ANNUAL ESTIMATE (Quotation Estimate QTE-SPB-2025-0472)</w:t>
            </w:r>
          </w:p>
        </w:tc>
        <w:tc>
          <w:tcPr/>
          <w:p>
            <w:pPr>
              <w:pStyle w:val="Compact"/>
              <w:jc w:val="left"/>
            </w:pPr>
            <w:r>
              <w:t xml:space="preserve">5,397,500</w:t>
            </w:r>
          </w:p>
        </w:tc>
      </w:tr>
      <w:tr>
        <w:tc>
          <w:tcPr>
            <w:gridSpan w:val="4"/>
          </w:tcPr>
          <w:p>
            <w:pPr>
              <w:pStyle w:val="Compact"/>
              <w:jc w:val="left"/>
            </w:pPr>
            <w:r>
              <w:t xml:space="preserve">TOTAL ANNUAL ESTIMATE (USD equivalent at 92.50 RUB/USD)</w:t>
            </w:r>
          </w:p>
        </w:tc>
        <w:tc>
          <w:tcPr/>
          <w:p>
            <w:pPr>
              <w:pStyle w:val="Compact"/>
              <w:jc w:val="left"/>
            </w:pPr>
            <w:r>
              <w:t xml:space="preserve">~58,351</w:t>
            </w:r>
          </w:p>
        </w:tc>
      </w:tr>
    </w:tbl>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shall remain valid for a period of thirty (30) calendar days from the date of issue. Any acceptance beyond this period requires written reconfirmation of all rates and terms.</w:t>
      </w:r>
    </w:p>
    <w:p>
      <w:pPr>
        <w:pStyle w:val="BodyText"/>
      </w:pPr>
      <w:r>
        <w:rPr>
          <w:bCs/>
          <w:b/>
        </w:rPr>
        <w:t xml:space="preserve">5.2 Payment Schedule:</w:t>
      </w:r>
      <w:r>
        <w:t xml:space="preserve"> </w:t>
      </w:r>
      <w:r>
        <w:t xml:space="preserve">Recruitment and onboarding fees (Items 1–3) are payable within fourteen (14) business days of the candidate's successful start date. Monthly salary and statutory contributions are payable on the last working day of each calendar month in accordance with Russian labor law (Labor Code of the Russian Federation, Chapter 37).</w:t>
      </w:r>
    </w:p>
    <w:p>
      <w:pPr>
        <w:pStyle w:val="BodyText"/>
      </w:pPr>
      <w:r>
        <w:rPr>
          <w:bCs/>
          <w:b/>
        </w:rPr>
        <w:t xml:space="preserve">5.3 Currency &amp; Exchange Rate:</w:t>
      </w:r>
      <w:r>
        <w:t xml:space="preserve"> </w:t>
      </w:r>
      <w:r>
        <w:t xml:space="preserve">All amounts are quoted in Russian Rubles (RUB). The USD equivalent is provided for reference only at the Central Bank of Russia reference rate on the date of issue. The client assumes all currency fluctuation risk.</w:t>
      </w:r>
    </w:p>
    <w:p>
      <w:pPr>
        <w:pStyle w:val="BodyText"/>
      </w:pPr>
      <w:r>
        <w:rPr>
          <w:bCs/>
          <w:b/>
        </w:rPr>
        <w:t xml:space="preserve">5.4 Tax Obligations:</w:t>
      </w:r>
      <w:r>
        <w:t xml:space="preserve"> </w:t>
      </w:r>
      <w:r>
        <w:t xml:space="preserve">The Financial Analyst's personal income tax (NDFL at 13% standard rate) and employer social insurance contributions are included in the monthly salary line item. The client is responsible for any additional corporate tax obligations arising from this engagement in Russia Saint Petersburg.</w:t>
      </w:r>
    </w:p>
    <w:p>
      <w:pPr>
        <w:pStyle w:val="BodyText"/>
      </w:pPr>
      <w:r>
        <w:rPr>
          <w:bCs/>
          <w:b/>
        </w:rPr>
        <w:t xml:space="preserve">5.5 Confidentiality:</w:t>
      </w:r>
      <w:r>
        <w:t xml:space="preserve"> </w:t>
      </w:r>
      <w:r>
        <w:t xml:space="preserve">All financial data, proprietary models, and client-specific information accessed by the Financial Analyst during the engagement period are subject to a strict Non-Disclosure Agreement (NDA) governed by the Civil Code of the Russian Federation.</w:t>
      </w:r>
    </w:p>
    <w:p>
      <w:pPr>
        <w:pStyle w:val="BodyText"/>
      </w:pPr>
      <w:r>
        <w:rPr>
          <w:bCs/>
          <w:b/>
        </w:rPr>
        <w:t xml:space="preserve">5.6 Termination:</w:t>
      </w:r>
      <w:r>
        <w:t xml:space="preserve"> </w:t>
      </w:r>
      <w:r>
        <w:t xml:space="preserve">Either party may terminate the engagement with thirty (30) days' written notice. In the event of early termination by the client without cause, a pro-rata portion of the annual administrative fee shall be due.</w:t>
      </w:r>
    </w:p>
    <w:p>
      <w:pPr>
        <w:pStyle w:val="BodyText"/>
      </w:pPr>
      <w:r>
        <w:rPr>
          <w:bCs/>
          <w:b/>
        </w:rPr>
        <w:t xml:space="preserve">5.7 Governing Law:</w:t>
      </w:r>
      <w:r>
        <w:t xml:space="preserve"> </w:t>
      </w:r>
      <w:r>
        <w:t xml:space="preserve">This Quotation Estimate and any resulting contractual relationship shall be governed by and construed in accordance with the laws of the Russian Federation. Disputes shall be resolved through arbitration in Saint Petersburg under the rules of the Arbitration Court of Saint Petersburg and Leningrad Oblast.</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the Financial Analyst position in Russia Saint Petersburg and agrees to the terms, conditions, and pricing outlined herein. This signature constitutes a binding acceptance of the Quotation Estimate and authorizes the provider to commence recruitment and onboarding activities.</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For the Provider:</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Quotation Estimate QTE-SPB-2025-0472 | Financial Analyst | Russia Saint Petersburg | Issued: 15 June 2025</w:t>
      </w:r>
    </w:p>
    <w:p>
      <w:pPr>
        <w:pStyle w:val="BodyText"/>
      </w:pP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Russia Saint Petersburg</dc:title>
  <dc:creator/>
  <dc:language>en</dc:language>
  <cp:keywords/>
  <dcterms:created xsi:type="dcterms:W3CDTF">2026-10-10T02:03:11Z</dcterms:created>
  <dcterms:modified xsi:type="dcterms:W3CDTF">2026-10-10T02:03:11Z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