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Financial</w:t>
      </w:r>
      <w:r>
        <w:t xml:space="preserve"> </w:t>
      </w:r>
      <w:r>
        <w:t xml:space="preserve">Analyst</w:t>
      </w:r>
      <w:r>
        <w:t xml:space="preserve"> </w:t>
      </w:r>
      <w:r>
        <w:t xml:space="preserve">-</w:t>
      </w:r>
      <w:r>
        <w:t xml:space="preserve"> </w:t>
      </w:r>
      <w:r>
        <w:t xml:space="preserve">Sudan</w:t>
      </w:r>
      <w:r>
        <w:t xml:space="preserve"> </w:t>
      </w:r>
      <w:r>
        <w:t xml:space="preserve">Khartoum</w:t>
      </w:r>
    </w:p>
    <w:bookmarkStart w:id="20" w:name="quotation-estimate"/>
    <w:p>
      <w:pPr>
        <w:pStyle w:val="Heading1"/>
      </w:pPr>
      <w:r>
        <w:t xml:space="preserve">QUOTATION ESTIMATE</w:t>
      </w:r>
    </w:p>
    <w:p>
      <w:pPr>
        <w:pStyle w:val="FirstParagraph"/>
      </w:pPr>
      <w:r>
        <w:rPr>
          <w:bCs/>
          <w:b/>
        </w:rPr>
        <w:t xml:space="preserve">Professional Financial Analyst Services</w:t>
      </w:r>
    </w:p>
    <w:p>
      <w:pPr>
        <w:pStyle w:val="BodyText"/>
      </w:pPr>
      <w:r>
        <w:t xml:space="preserve">Prepared for the Sudan Khartoum Business Market</w:t>
      </w:r>
    </w:p>
    <w:p>
      <w:pPr>
        <w:pStyle w:val="BodyText"/>
      </w:pPr>
      <w:r>
        <w:t xml:space="preserve">Document Ref: QE-FA-KRT-2025-0472</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QE-FA-KRT-2025-0472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Prepared By</w:t>
            </w:r>
          </w:p>
        </w:tc>
        <w:tc>
          <w:tcPr/>
          <w:p>
            <w:pPr>
              <w:pStyle w:val="Compact"/>
              <w:jc w:val="left"/>
            </w:pPr>
            <w:r>
              <w:t xml:space="preserve">Al-Nile Professional Consulting Group, Khartoum, Sudan</w:t>
            </w:r>
          </w:p>
        </w:tc>
      </w:tr>
      <w:tr>
        <w:tc>
          <w:tcPr/>
          <w:p>
            <w:pPr>
              <w:pStyle w:val="Compact"/>
              <w:jc w:val="left"/>
            </w:pPr>
            <w:r>
              <w:t xml:space="preserve">Prepared For</w:t>
            </w:r>
          </w:p>
        </w:tc>
        <w:tc>
          <w:tcPr/>
          <w:p>
            <w:pPr>
              <w:pStyle w:val="Compact"/>
              <w:jc w:val="left"/>
            </w:pPr>
            <w:r>
              <w:t xml:space="preserve">[Client Name / Organization], Sudan Khartoum</w:t>
            </w:r>
          </w:p>
        </w:tc>
      </w:tr>
      <w:tr>
        <w:tc>
          <w:tcPr/>
          <w:p>
            <w:pPr>
              <w:pStyle w:val="Compact"/>
              <w:jc w:val="left"/>
            </w:pPr>
            <w:r>
              <w:t xml:space="preserve">Service Category</w:t>
            </w:r>
          </w:p>
        </w:tc>
        <w:tc>
          <w:tcPr/>
          <w:p>
            <w:pPr>
              <w:pStyle w:val="Compact"/>
              <w:jc w:val="left"/>
            </w:pPr>
            <w:r>
              <w:t xml:space="preserve">Financial Analyst – Full-Time Contractual Engagement</w:t>
            </w:r>
          </w:p>
        </w:tc>
      </w:tr>
      <w:tr>
        <w:tc>
          <w:tcPr/>
          <w:p>
            <w:pPr>
              <w:pStyle w:val="Compact"/>
              <w:jc w:val="left"/>
            </w:pPr>
            <w:r>
              <w:t xml:space="preserve">Location of Service</w:t>
            </w:r>
          </w:p>
        </w:tc>
        <w:tc>
          <w:tcPr/>
          <w:p>
            <w:pPr>
              <w:pStyle w:val="Compact"/>
              <w:jc w:val="left"/>
            </w:pPr>
            <w:r>
              <w:t xml:space="preserve">Khartoum, Sudan (Primary Office: Al-Murra District)</w:t>
            </w:r>
          </w:p>
        </w:tc>
      </w:tr>
      <w:tr>
        <w:tc>
          <w:tcPr/>
          <w:p>
            <w:pPr>
              <w:pStyle w:val="Compact"/>
              <w:jc w:val="left"/>
            </w:pPr>
            <w:r>
              <w:t xml:space="preserve">Currency</w:t>
            </w:r>
          </w:p>
        </w:tc>
        <w:tc>
          <w:tcPr/>
          <w:p>
            <w:pPr>
              <w:pStyle w:val="Compact"/>
              <w:jc w:val="left"/>
            </w:pPr>
            <w:r>
              <w:t xml:space="preserve">Sudanese Pound (SDG) / US Dollar (USD) equivalent</w:t>
            </w:r>
          </w:p>
        </w:tc>
      </w:tr>
    </w:tbl>
    <w:p>
      <w:pPr>
        <w:pStyle w:val="BodyText"/>
      </w:pPr>
      <w:r>
        <w:t xml:space="preserve">1. Purpose of This Quotation Estimate</w:t>
      </w:r>
    </w:p>
    <w:p>
      <w:pPr>
        <w:pStyle w:val="BodyText"/>
      </w:pPr>
      <w:r>
        <w:t xml:space="preserve">This</w:t>
      </w:r>
      <w:r>
        <w:t xml:space="preserve"> </w:t>
      </w:r>
      <w:r>
        <w:rPr>
          <w:bCs/>
          <w:b/>
        </w:rPr>
        <w:t xml:space="preserve">Quotation Estimate</w:t>
      </w:r>
      <w:r>
        <w:t xml:space="preserve"> </w:t>
      </w:r>
      <w:r>
        <w:t xml:space="preserve">is formally issued by Al-Nile Professional Consulting Group to provide a comprehensive, itemized cost breakdown for the recruitment, onboarding, and ongoing engagement of a qualified</w:t>
      </w:r>
      <w:r>
        <w:t xml:space="preserve"> </w:t>
      </w:r>
      <w:r>
        <w:rPr>
          <w:bCs/>
          <w:b/>
        </w:rPr>
        <w:t xml:space="preserve">Financial Analyst</w:t>
      </w:r>
      <w:r>
        <w:t xml:space="preserve"> </w:t>
      </w:r>
      <w:r>
        <w:t xml:space="preserve">to operate within the</w:t>
      </w:r>
      <w:r>
        <w:t xml:space="preserve"> </w:t>
      </w:r>
      <w:r>
        <w:rPr>
          <w:bCs/>
          <w:b/>
        </w:rPr>
        <w:t xml:space="preserve">Sudan Khartoum</w:t>
      </w:r>
      <w:r>
        <w:t xml:space="preserve"> </w:t>
      </w:r>
      <w:r>
        <w:t xml:space="preserve">business environment. This document serves as a binding financial proposal for the client to review, approve, and authorize the commencement of the Financial Analyst engagement. All figures presented herein reflect current market rates applicable to the Sudan Khartoum professional services sector as of the date of issue.</w:t>
      </w:r>
    </w:p>
    <w:p>
      <w:pPr>
        <w:pStyle w:val="BodyText"/>
      </w:pPr>
      <w:r>
        <w:t xml:space="preserve">2. Scope of Services – Financial Analyst Role</w:t>
      </w:r>
    </w:p>
    <w:p>
      <w:pPr>
        <w:pStyle w:val="BodyText"/>
      </w:pPr>
      <w:r>
        <w:t xml:space="preserve">The</w:t>
      </w:r>
      <w:r>
        <w:t xml:space="preserve"> </w:t>
      </w:r>
      <w:r>
        <w:rPr>
          <w:bCs/>
          <w:b/>
        </w:rPr>
        <w:t xml:space="preserve">Financial Analyst</w:t>
      </w:r>
      <w:r>
        <w:t xml:space="preserve"> </w:t>
      </w:r>
      <w:r>
        <w:t xml:space="preserve">engaged under this Quotation Estimate will be responsible for the following core duties within the Sudan Khartoum operational context:</w:t>
      </w:r>
    </w:p>
    <w:p>
      <w:pPr>
        <w:numPr>
          <w:ilvl w:val="0"/>
          <w:numId w:val="1001"/>
        </w:numPr>
        <w:pStyle w:val="Compact"/>
      </w:pPr>
      <w:r>
        <w:t xml:space="preserve">Preparation and maintenance of monthly, quarterly, and annual financial statements in compliance with Sudanese accounting standards and IFRS guidelines.</w:t>
      </w:r>
    </w:p>
    <w:p>
      <w:pPr>
        <w:numPr>
          <w:ilvl w:val="0"/>
          <w:numId w:val="1001"/>
        </w:numPr>
        <w:pStyle w:val="Compact"/>
      </w:pPr>
      <w:r>
        <w:t xml:space="preserve">Conducting variance analysis, budget forecasting, and cash-flow projections tailored to the client's operations in Sudan Khartoum.</w:t>
      </w:r>
    </w:p>
    <w:p>
      <w:pPr>
        <w:numPr>
          <w:ilvl w:val="0"/>
          <w:numId w:val="1001"/>
        </w:numPr>
        <w:pStyle w:val="Compact"/>
      </w:pPr>
      <w:r>
        <w:t xml:space="preserve">Performing cost-benefit analyses, investment appraisals, and risk assessments for strategic decision-making.</w:t>
      </w:r>
    </w:p>
    <w:p>
      <w:pPr>
        <w:numPr>
          <w:ilvl w:val="0"/>
          <w:numId w:val="1001"/>
        </w:numPr>
        <w:pStyle w:val="Compact"/>
      </w:pPr>
      <w:r>
        <w:t xml:space="preserve">Monitoring and reporting on key performance indicators (KPIs) and financial ratios relevant to the Sudanese market conditions.</w:t>
      </w:r>
    </w:p>
    <w:p>
      <w:pPr>
        <w:numPr>
          <w:ilvl w:val="0"/>
          <w:numId w:val="1001"/>
        </w:numPr>
        <w:pStyle w:val="Compact"/>
      </w:pPr>
      <w:r>
        <w:t xml:space="preserve">Assisting in the preparation of regulatory filings, tax computations, and audit support documentation as required by the National Bank of Sudan and the Ministry of Finance.</w:t>
      </w:r>
    </w:p>
    <w:p>
      <w:pPr>
        <w:numPr>
          <w:ilvl w:val="0"/>
          <w:numId w:val="1001"/>
        </w:numPr>
        <w:pStyle w:val="Compact"/>
      </w:pPr>
      <w:r>
        <w:t xml:space="preserve">Providing ad-hoc financial modeling and scenario analysis to support executive leadership in Khartoum.</w:t>
      </w:r>
    </w:p>
    <w:p>
      <w:pPr>
        <w:pStyle w:val="FirstParagraph"/>
      </w:pPr>
      <w:r>
        <w:t xml:space="preserve">3. 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Amount (USD)</w:t>
            </w:r>
          </w:p>
        </w:tc>
        <w:tc>
          <w:tcPr/>
          <w:p>
            <w:pPr>
              <w:pStyle w:val="Compact"/>
              <w:jc w:val="left"/>
            </w:pPr>
            <w:r>
              <w:t xml:space="preserve">Amount (SDG)</w:t>
            </w:r>
          </w:p>
        </w:tc>
      </w:tr>
      <w:tr>
        <w:tc>
          <w:tcPr/>
          <w:p>
            <w:pPr>
              <w:pStyle w:val="Compact"/>
              <w:jc w:val="left"/>
            </w:pPr>
            <w:r>
              <w:t xml:space="preserve">1</w:t>
            </w:r>
          </w:p>
        </w:tc>
        <w:tc>
          <w:tcPr/>
          <w:p>
            <w:pPr>
              <w:pStyle w:val="Compact"/>
              <w:jc w:val="left"/>
            </w:pPr>
            <w:r>
              <w:t xml:space="preserve">Recruitment &amp; Screening of Financial Analyst (CV review, interviews, reference checks in Sudan Khartoum)</w:t>
            </w:r>
          </w:p>
        </w:tc>
        <w:tc>
          <w:tcPr/>
          <w:p>
            <w:pPr>
              <w:pStyle w:val="Compact"/>
              <w:jc w:val="left"/>
            </w:pPr>
            <w:r>
              <w:t xml:space="preserve">1 package</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4,320,000</w:t>
            </w:r>
          </w:p>
        </w:tc>
      </w:tr>
      <w:tr>
        <w:tc>
          <w:tcPr/>
          <w:p>
            <w:pPr>
              <w:pStyle w:val="Compact"/>
              <w:jc w:val="left"/>
            </w:pPr>
            <w:r>
              <w:t xml:space="preserve">2</w:t>
            </w:r>
          </w:p>
        </w:tc>
        <w:tc>
          <w:tcPr/>
          <w:p>
            <w:pPr>
              <w:pStyle w:val="Compact"/>
              <w:jc w:val="left"/>
            </w:pPr>
            <w:r>
              <w:t xml:space="preserve">Onboarding, Orientation &amp; Compliance Training (Sudanese labor law, tax registration, office setup in Khartoum)</w:t>
            </w:r>
          </w:p>
        </w:tc>
        <w:tc>
          <w:tcPr/>
          <w:p>
            <w:pPr>
              <w:pStyle w:val="Compact"/>
              <w:jc w:val="left"/>
            </w:pPr>
            <w:r>
              <w:t xml:space="preserve">1 package</w:t>
            </w:r>
          </w:p>
        </w:tc>
        <w:tc>
          <w:tcPr/>
          <w:p>
            <w:pPr>
              <w:pStyle w:val="Compact"/>
              <w:jc w:val="left"/>
            </w:pPr>
            <w:r>
              <w:t xml:space="preserve">850.00</w:t>
            </w:r>
          </w:p>
        </w:tc>
        <w:tc>
          <w:tcPr/>
          <w:p>
            <w:pPr>
              <w:pStyle w:val="Compact"/>
              <w:jc w:val="left"/>
            </w:pPr>
            <w:r>
              <w:t xml:space="preserve">850.00</w:t>
            </w:r>
          </w:p>
        </w:tc>
        <w:tc>
          <w:tcPr/>
          <w:p>
            <w:pPr>
              <w:pStyle w:val="Compact"/>
              <w:jc w:val="left"/>
            </w:pPr>
            <w:r>
              <w:t xml:space="preserve">3,060,000</w:t>
            </w:r>
          </w:p>
        </w:tc>
      </w:tr>
      <w:tr>
        <w:tc>
          <w:tcPr/>
          <w:p>
            <w:pPr>
              <w:pStyle w:val="Compact"/>
              <w:jc w:val="left"/>
            </w:pPr>
            <w:r>
              <w:t xml:space="preserve">3</w:t>
            </w:r>
          </w:p>
        </w:tc>
        <w:tc>
          <w:tcPr/>
          <w:p>
            <w:pPr>
              <w:pStyle w:val="Compact"/>
              <w:jc w:val="left"/>
            </w:pPr>
            <w:r>
              <w:t xml:space="preserve">Monthly Salary – Financial Analyst (Senior Level, 5+ years experience)</w:t>
            </w:r>
          </w:p>
        </w:tc>
        <w:tc>
          <w:tcPr/>
          <w:p>
            <w:pPr>
              <w:pStyle w:val="Compact"/>
              <w:jc w:val="left"/>
            </w:pPr>
            <w:r>
              <w:t xml:space="preserve">12 months</w:t>
            </w:r>
          </w:p>
        </w:tc>
        <w:tc>
          <w:tcPr/>
          <w:p>
            <w:pPr>
              <w:pStyle w:val="Compact"/>
              <w:jc w:val="left"/>
            </w:pPr>
            <w:r>
              <w:t xml:space="preserve">2,800.00</w:t>
            </w:r>
          </w:p>
        </w:tc>
        <w:tc>
          <w:tcPr/>
          <w:p>
            <w:pPr>
              <w:pStyle w:val="Compact"/>
              <w:jc w:val="left"/>
            </w:pPr>
            <w:r>
              <w:t xml:space="preserve">33,600.00</w:t>
            </w:r>
          </w:p>
        </w:tc>
        <w:tc>
          <w:tcPr/>
          <w:p>
            <w:pPr>
              <w:pStyle w:val="Compact"/>
              <w:jc w:val="left"/>
            </w:pPr>
            <w:r>
              <w:t xml:space="preserve">120,960,000</w:t>
            </w:r>
          </w:p>
        </w:tc>
      </w:tr>
      <w:tr>
        <w:tc>
          <w:tcPr/>
          <w:p>
            <w:pPr>
              <w:pStyle w:val="Compact"/>
              <w:jc w:val="left"/>
            </w:pPr>
            <w:r>
              <w:t xml:space="preserve">4</w:t>
            </w:r>
          </w:p>
        </w:tc>
        <w:tc>
          <w:tcPr/>
          <w:p>
            <w:pPr>
              <w:pStyle w:val="Compact"/>
              <w:jc w:val="left"/>
            </w:pPr>
            <w:r>
              <w:t xml:space="preserve">Statutory Social Security &amp; Pension Contributions (Sudanese employer obligations)</w:t>
            </w:r>
          </w:p>
        </w:tc>
        <w:tc>
          <w:tcPr/>
          <w:p>
            <w:pPr>
              <w:pStyle w:val="Compact"/>
              <w:jc w:val="left"/>
            </w:pPr>
            <w:r>
              <w:t xml:space="preserve">12 months</w:t>
            </w:r>
          </w:p>
        </w:tc>
        <w:tc>
          <w:tcPr/>
          <w:p>
            <w:pPr>
              <w:pStyle w:val="Compact"/>
              <w:jc w:val="left"/>
            </w:pPr>
            <w:r>
              <w:t xml:space="preserve">420.00</w:t>
            </w:r>
          </w:p>
        </w:tc>
        <w:tc>
          <w:tcPr/>
          <w:p>
            <w:pPr>
              <w:pStyle w:val="Compact"/>
              <w:jc w:val="left"/>
            </w:pPr>
            <w:r>
              <w:t xml:space="preserve">5,040.00</w:t>
            </w:r>
          </w:p>
        </w:tc>
        <w:tc>
          <w:tcPr/>
          <w:p>
            <w:pPr>
              <w:pStyle w:val="Compact"/>
              <w:jc w:val="left"/>
            </w:pPr>
            <w:r>
              <w:t xml:space="preserve">18,144,000</w:t>
            </w:r>
          </w:p>
        </w:tc>
      </w:tr>
      <w:tr>
        <w:tc>
          <w:tcPr/>
          <w:p>
            <w:pPr>
              <w:pStyle w:val="Compact"/>
              <w:jc w:val="left"/>
            </w:pPr>
            <w:r>
              <w:t xml:space="preserve">5</w:t>
            </w:r>
          </w:p>
        </w:tc>
        <w:tc>
          <w:tcPr/>
          <w:p>
            <w:pPr>
              <w:pStyle w:val="Compact"/>
              <w:jc w:val="left"/>
            </w:pPr>
            <w:r>
              <w:t xml:space="preserve">Professional Liability &amp; Health Insurance for Financial Analyst</w:t>
            </w:r>
          </w:p>
        </w:tc>
        <w:tc>
          <w:tcPr/>
          <w:p>
            <w:pPr>
              <w:pStyle w:val="Compact"/>
              <w:jc w:val="left"/>
            </w:pPr>
            <w:r>
              <w:t xml:space="preserve">12 months</w:t>
            </w:r>
          </w:p>
        </w:tc>
        <w:tc>
          <w:tcPr/>
          <w:p>
            <w:pPr>
              <w:pStyle w:val="Compact"/>
              <w:jc w:val="left"/>
            </w:pPr>
            <w:r>
              <w:t xml:space="preserve">310.00</w:t>
            </w:r>
          </w:p>
        </w:tc>
        <w:tc>
          <w:tcPr/>
          <w:p>
            <w:pPr>
              <w:pStyle w:val="Compact"/>
              <w:jc w:val="left"/>
            </w:pPr>
            <w:r>
              <w:t xml:space="preserve">3,720.00</w:t>
            </w:r>
          </w:p>
        </w:tc>
        <w:tc>
          <w:tcPr/>
          <w:p>
            <w:pPr>
              <w:pStyle w:val="Compact"/>
              <w:jc w:val="left"/>
            </w:pPr>
            <w:r>
              <w:t xml:space="preserve">13,392,000</w:t>
            </w:r>
          </w:p>
        </w:tc>
      </w:tr>
      <w:tr>
        <w:tc>
          <w:tcPr/>
          <w:p>
            <w:pPr>
              <w:pStyle w:val="Compact"/>
              <w:jc w:val="left"/>
            </w:pPr>
            <w:r>
              <w:t xml:space="preserve">6</w:t>
            </w:r>
          </w:p>
        </w:tc>
        <w:tc>
          <w:tcPr/>
          <w:p>
            <w:pPr>
              <w:pStyle w:val="Compact"/>
              <w:jc w:val="left"/>
            </w:pPr>
            <w:r>
              <w:t xml:space="preserve">Workstation, Software Licenses (SAP/Oracle, Bloomberg Terminal access) &amp; IT Infrastructure</w:t>
            </w:r>
          </w:p>
        </w:tc>
        <w:tc>
          <w:tcPr/>
          <w:p>
            <w:pPr>
              <w:pStyle w:val="Compact"/>
              <w:jc w:val="left"/>
            </w:pPr>
            <w:r>
              <w:t xml:space="preserve">1 package</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16,200,000</w:t>
            </w:r>
          </w:p>
        </w:tc>
      </w:tr>
      <w:tr>
        <w:tc>
          <w:tcPr/>
          <w:p>
            <w:pPr>
              <w:pStyle w:val="Compact"/>
              <w:jc w:val="left"/>
            </w:pPr>
            <w:r>
              <w:t xml:space="preserve">7</w:t>
            </w:r>
          </w:p>
        </w:tc>
        <w:tc>
          <w:tcPr/>
          <w:p>
            <w:pPr>
              <w:pStyle w:val="Compact"/>
              <w:jc w:val="left"/>
            </w:pPr>
            <w:r>
              <w:t xml:space="preserve">Office Space Allocation – Al-Murra Business District, Khartoum (desk, meeting room access)</w:t>
            </w:r>
          </w:p>
        </w:tc>
        <w:tc>
          <w:tcPr/>
          <w:p>
            <w:pPr>
              <w:pStyle w:val="Compact"/>
              <w:jc w:val="left"/>
            </w:pPr>
            <w:r>
              <w:t xml:space="preserve">12 months</w:t>
            </w:r>
          </w:p>
        </w:tc>
        <w:tc>
          <w:tcPr/>
          <w:p>
            <w:pPr>
              <w:pStyle w:val="Compact"/>
              <w:jc w:val="left"/>
            </w:pPr>
            <w:r>
              <w:t xml:space="preserve">650.00</w:t>
            </w:r>
          </w:p>
        </w:tc>
        <w:tc>
          <w:tcPr/>
          <w:p>
            <w:pPr>
              <w:pStyle w:val="Compact"/>
              <w:jc w:val="left"/>
            </w:pPr>
            <w:r>
              <w:t xml:space="preserve">7,800.00</w:t>
            </w:r>
          </w:p>
        </w:tc>
        <w:tc>
          <w:tcPr/>
          <w:p>
            <w:pPr>
              <w:pStyle w:val="Compact"/>
              <w:jc w:val="left"/>
            </w:pPr>
            <w:r>
              <w:t xml:space="preserve">28,080,000</w:t>
            </w:r>
          </w:p>
        </w:tc>
      </w:tr>
      <w:tr>
        <w:tc>
          <w:tcPr/>
          <w:p>
            <w:pPr>
              <w:pStyle w:val="Compact"/>
              <w:jc w:val="left"/>
            </w:pPr>
            <w:r>
              <w:t xml:space="preserve">8</w:t>
            </w:r>
          </w:p>
        </w:tc>
        <w:tc>
          <w:tcPr/>
          <w:p>
            <w:pPr>
              <w:pStyle w:val="Compact"/>
              <w:jc w:val="left"/>
            </w:pPr>
            <w:r>
              <w:t xml:space="preserve">Performance Review &amp; Annual Appraisal (conducted by Al-Nile Consulting)</w:t>
            </w:r>
          </w:p>
        </w:tc>
        <w:tc>
          <w:tcPr/>
          <w:p>
            <w:pPr>
              <w:pStyle w:val="Compact"/>
              <w:jc w:val="left"/>
            </w:pPr>
            <w:r>
              <w:t xml:space="preserve">1 cycle</w:t>
            </w:r>
          </w:p>
        </w:tc>
        <w:tc>
          <w:tcPr/>
          <w:p>
            <w:pPr>
              <w:pStyle w:val="Compact"/>
              <w:jc w:val="left"/>
            </w:pPr>
            <w:r>
              <w:t xml:space="preserve">500.00</w:t>
            </w:r>
          </w:p>
        </w:tc>
        <w:tc>
          <w:tcPr/>
          <w:p>
            <w:pPr>
              <w:pStyle w:val="Compact"/>
              <w:jc w:val="left"/>
            </w:pPr>
            <w:r>
              <w:t xml:space="preserve">500.00</w:t>
            </w:r>
          </w:p>
        </w:tc>
        <w:tc>
          <w:tcPr/>
          <w:p>
            <w:pPr>
              <w:pStyle w:val="Compact"/>
              <w:jc w:val="left"/>
            </w:pPr>
            <w:r>
              <w:t xml:space="preserve">1,800,000</w:t>
            </w:r>
          </w:p>
        </w:tc>
      </w:tr>
      <w:tr>
        <w:tc>
          <w:tcPr/>
          <w:p>
            <w:pPr>
              <w:pStyle w:val="Compact"/>
              <w:jc w:val="left"/>
            </w:pPr>
            <w:r>
              <w:t xml:space="preserve">9</w:t>
            </w:r>
          </w:p>
        </w:tc>
        <w:tc>
          <w:tcPr/>
          <w:p>
            <w:pPr>
              <w:pStyle w:val="Compact"/>
              <w:jc w:val="left"/>
            </w:pPr>
            <w:r>
              <w:t xml:space="preserve">Continuing Professional Development &amp; Certification Support (CFA/CPA exam fees)</w:t>
            </w:r>
          </w:p>
        </w:tc>
        <w:tc>
          <w:tcPr/>
          <w:p>
            <w:pPr>
              <w:pStyle w:val="Compact"/>
              <w:jc w:val="left"/>
            </w:pPr>
            <w:r>
              <w:t xml:space="preserve">1 year</w:t>
            </w:r>
          </w:p>
        </w:tc>
        <w:tc>
          <w:tcPr/>
          <w:p>
            <w:pPr>
              <w:pStyle w:val="Compact"/>
              <w:jc w:val="left"/>
            </w:pPr>
            <w:r>
              <w:t xml:space="preserve">1,100.00</w:t>
            </w:r>
          </w:p>
        </w:tc>
        <w:tc>
          <w:tcPr/>
          <w:p>
            <w:pPr>
              <w:pStyle w:val="Compact"/>
              <w:jc w:val="left"/>
            </w:pPr>
            <w:r>
              <w:t xml:space="preserve">1,100.00</w:t>
            </w:r>
          </w:p>
        </w:tc>
        <w:tc>
          <w:tcPr/>
          <w:p>
            <w:pPr>
              <w:pStyle w:val="Compact"/>
              <w:jc w:val="left"/>
            </w:pPr>
            <w:r>
              <w:t xml:space="preserve">3,960,000</w:t>
            </w:r>
          </w:p>
        </w:tc>
      </w:tr>
      <w:tr>
        <w:tc>
          <w:tcPr/>
          <w:p>
            <w:pPr>
              <w:pStyle w:val="Compact"/>
              <w:jc w:val="left"/>
            </w:pPr>
            <w:r>
              <w:t xml:space="preserve">10</w:t>
            </w:r>
          </w:p>
        </w:tc>
        <w:tc>
          <w:tcPr/>
          <w:p>
            <w:pPr>
              <w:pStyle w:val="Compact"/>
              <w:jc w:val="left"/>
            </w:pPr>
            <w:r>
              <w:t xml:space="preserve">Management &amp; Administrative Oversight Fee (Al-Nile Consulting, 8% of subtotal)</w:t>
            </w:r>
          </w:p>
        </w:tc>
        <w:tc>
          <w:tcPr/>
          <w:p>
            <w:pPr>
              <w:pStyle w:val="Compact"/>
              <w:jc w:val="left"/>
            </w:pPr>
            <w:r>
              <w:t xml:space="preserve">1 year</w:t>
            </w:r>
          </w:p>
        </w:tc>
        <w:tc>
          <w:tcPr/>
          <w:p>
            <w:pPr>
              <w:pStyle w:val="Compact"/>
              <w:jc w:val="left"/>
            </w:pPr>
            <w:r>
              <w:t xml:space="preserve">—</w:t>
            </w:r>
          </w:p>
        </w:tc>
        <w:tc>
          <w:tcPr/>
          <w:p>
            <w:pPr>
              <w:pStyle w:val="Compact"/>
              <w:jc w:val="left"/>
            </w:pPr>
            <w:r>
              <w:t xml:space="preserve">4,122.00</w:t>
            </w:r>
          </w:p>
        </w:tc>
        <w:tc>
          <w:tcPr/>
          <w:p>
            <w:pPr>
              <w:pStyle w:val="Compact"/>
              <w:jc w:val="left"/>
            </w:pPr>
            <w:r>
              <w:t xml:space="preserve">14,839,200</w:t>
            </w:r>
          </w:p>
        </w:tc>
      </w:tr>
      <w:tr>
        <w:tc>
          <w:tcPr>
            <w:gridSpan w:val="4"/>
          </w:tcPr>
          <w:p>
            <w:pPr>
              <w:pStyle w:val="Compact"/>
              <w:jc w:val="left"/>
            </w:pPr>
            <w:r>
              <w:t xml:space="preserve">TOTAL ESTIMATED COST (Annual)</w:t>
            </w:r>
          </w:p>
        </w:tc>
        <w:tc>
          <w:tcPr/>
          <w:p>
            <w:pPr>
              <w:pStyle w:val="Compact"/>
              <w:jc w:val="left"/>
            </w:pPr>
            <w:r>
              <w:t xml:space="preserve">63,432.00</w:t>
            </w:r>
          </w:p>
        </w:tc>
        <w:tc>
          <w:tcPr/>
          <w:p>
            <w:pPr>
              <w:pStyle w:val="Compact"/>
              <w:jc w:val="left"/>
            </w:pPr>
            <w:r>
              <w:t xml:space="preserve">228,355,200</w:t>
            </w:r>
          </w:p>
        </w:tc>
      </w:tr>
    </w:tbl>
    <w:p>
      <w:pPr>
        <w:pStyle w:val="BodyText"/>
      </w:pPr>
      <w:r>
        <w:t xml:space="preserve">* Exchange rate applied: 1 USD = 3,600 SDG (National Bank of Sudan indicative rate, June 2025). Final SDG amounts subject to prevailing rate at time of payment.</w:t>
      </w:r>
    </w:p>
    <w:p>
      <w:pPr>
        <w:pStyle w:val="BodyText"/>
      </w:pPr>
      <w:r>
        <w:t xml:space="preserve">4. Payment Terms &amp; Schedule</w:t>
      </w:r>
    </w:p>
    <w:p>
      <w:pPr>
        <w:numPr>
          <w:ilvl w:val="0"/>
          <w:numId w:val="1002"/>
        </w:numPr>
        <w:pStyle w:val="Compact"/>
      </w:pPr>
      <w:r>
        <w:rPr>
          <w:bCs/>
          <w:b/>
        </w:rPr>
        <w:t xml:space="preserve">Advance Payment:</w:t>
      </w:r>
      <w:r>
        <w:t xml:space="preserve"> </w:t>
      </w:r>
      <w:r>
        <w:t xml:space="preserve">25% of the total Quotation Estimate value (USD 15,858.00) due upon signed acceptance of this document.</w:t>
      </w:r>
    </w:p>
    <w:p>
      <w:pPr>
        <w:numPr>
          <w:ilvl w:val="0"/>
          <w:numId w:val="1002"/>
        </w:numPr>
        <w:pStyle w:val="Compact"/>
      </w:pPr>
      <w:r>
        <w:rPr>
          <w:bCs/>
          <w:b/>
        </w:rPr>
        <w:t xml:space="preserve">Monthly Installments:</w:t>
      </w:r>
      <w:r>
        <w:t xml:space="preserve"> </w:t>
      </w:r>
      <w:r>
        <w:t xml:space="preserve">The remaining balance shall be invoiced monthly in arrears, payable within 15 business days of invoice receipt.</w:t>
      </w:r>
    </w:p>
    <w:p>
      <w:pPr>
        <w:numPr>
          <w:ilvl w:val="0"/>
          <w:numId w:val="1002"/>
        </w:numPr>
        <w:pStyle w:val="Compact"/>
      </w:pPr>
      <w:r>
        <w:rPr>
          <w:bCs/>
          <w:b/>
        </w:rPr>
        <w:t xml:space="preserve">Payment Method:</w:t>
      </w:r>
      <w:r>
        <w:t xml:space="preserve"> </w:t>
      </w:r>
      <w:r>
        <w:t xml:space="preserve">Bank transfer to Al-Nile Professional Consulting Group, Bank of Khartoum, Branch: Al-Murra, Sudan. SWIFT/IBAN details to be provided upon contract execution.</w:t>
      </w:r>
    </w:p>
    <w:p>
      <w:pPr>
        <w:numPr>
          <w:ilvl w:val="0"/>
          <w:numId w:val="1002"/>
        </w:numPr>
        <w:pStyle w:val="Compact"/>
      </w:pPr>
      <w:r>
        <w:rPr>
          <w:bCs/>
          <w:b/>
        </w:rPr>
        <w:t xml:space="preserve">Late Payment:</w:t>
      </w:r>
      <w:r>
        <w:t xml:space="preserve"> </w:t>
      </w:r>
      <w:r>
        <w:t xml:space="preserve">A penalty of 2% per month shall apply to overdue amounts in accordance with Sudanese commercial law.</w:t>
      </w:r>
    </w:p>
    <w:p>
      <w:pPr>
        <w:pStyle w:val="FirstParagraph"/>
      </w:pPr>
      <w:r>
        <w:t xml:space="preserve">5. Terms &amp; Conditions</w:t>
      </w:r>
    </w:p>
    <w:p>
      <w:pPr>
        <w:numPr>
          <w:ilvl w:val="0"/>
          <w:numId w:val="1003"/>
        </w:numPr>
        <w:pStyle w:val="Compact"/>
      </w:pPr>
      <w:r>
        <w:t xml:space="preserve">This Quotation Estimate is valid for thirty (30) calendar days from the date of issue. Beyond this period, all rates are subject to revision based on market conditions in Sudan Khartoum.</w:t>
      </w:r>
    </w:p>
    <w:p>
      <w:pPr>
        <w:numPr>
          <w:ilvl w:val="0"/>
          <w:numId w:val="1003"/>
        </w:numPr>
        <w:pStyle w:val="Compact"/>
      </w:pPr>
      <w:r>
        <w:t xml:space="preserve">The Financial Analyst engagement is for an initial term of twelve (12) months, renewable by mutual written agreement. Either party may terminate with sixty (60) days' written notice.</w:t>
      </w:r>
    </w:p>
    <w:p>
      <w:pPr>
        <w:numPr>
          <w:ilvl w:val="0"/>
          <w:numId w:val="1003"/>
        </w:numPr>
        <w:pStyle w:val="Compact"/>
      </w:pPr>
      <w:r>
        <w:t xml:space="preserve">All work performed by the Financial Analyst shall be subject to the confidentiality and data protection obligations stipulated under Sudanese law and the client's internal policies.</w:t>
      </w:r>
    </w:p>
    <w:p>
      <w:pPr>
        <w:numPr>
          <w:ilvl w:val="0"/>
          <w:numId w:val="1003"/>
        </w:numPr>
        <w:pStyle w:val="Compact"/>
      </w:pPr>
      <w:r>
        <w:t xml:space="preserve">Al-Nile Professional Consulting Group shall not be liable for any indirect, consequential, or punitive damages arising from the services described in this Quotation Estimate.</w:t>
      </w:r>
    </w:p>
    <w:p>
      <w:pPr>
        <w:numPr>
          <w:ilvl w:val="0"/>
          <w:numId w:val="1003"/>
        </w:numPr>
        <w:pStyle w:val="Compact"/>
      </w:pPr>
      <w:r>
        <w:t xml:space="preserve">Any disputes arising from this engagement shall be resolved through arbitration in Khartoum, Sudan, in accordance with the Sudanese Arbitration Act.</w:t>
      </w:r>
    </w:p>
    <w:p>
      <w:pPr>
        <w:numPr>
          <w:ilvl w:val="0"/>
          <w:numId w:val="1003"/>
        </w:numPr>
        <w:pStyle w:val="Compact"/>
      </w:pPr>
      <w:r>
        <w:t xml:space="preserve">This Quotation Estimate does not constitute a guarantee of specific financial outcomes. The Financial Analyst's deliverables are advisory in nature unless otherwise specified in a separate Statement of Work.</w:t>
      </w:r>
    </w:p>
    <w:p>
      <w:pPr>
        <w:numPr>
          <w:ilvl w:val="0"/>
          <w:numId w:val="1003"/>
        </w:numPr>
        <w:pStyle w:val="Compact"/>
      </w:pPr>
      <w:r>
        <w:t xml:space="preserve">All intellectual property generated by the Financial Analyst during the engagement period shall vest in the client upon full payment of the Quotation Estimate value.</w:t>
      </w:r>
    </w:p>
    <w:p>
      <w:pPr>
        <w:pStyle w:val="FirstParagraph"/>
      </w:pPr>
      <w:r>
        <w:t xml:space="preserve">6. Acceptance &amp; Authorization</w:t>
      </w:r>
    </w:p>
    <w:p>
      <w:pPr>
        <w:pStyle w:val="BodyText"/>
      </w:pPr>
      <w:r>
        <w:t xml:space="preserve">By signing below, the client acknowledges receipt of this</w:t>
      </w:r>
      <w:r>
        <w:t xml:space="preserve"> </w:t>
      </w:r>
      <w:r>
        <w:rPr>
          <w:bCs/>
          <w:b/>
        </w:rPr>
        <w:t xml:space="preserve">Quotation Estimate</w:t>
      </w:r>
      <w:r>
        <w:t xml:space="preserve"> </w:t>
      </w:r>
      <w:r>
        <w:t xml:space="preserve">and authorizes Al-Nile Professional Consulting Group to proceed with the recruitment and engagement of the</w:t>
      </w:r>
      <w:r>
        <w:t xml:space="preserve"> </w:t>
      </w:r>
      <w:r>
        <w:rPr>
          <w:bCs/>
          <w:b/>
        </w:rPr>
        <w:t xml:space="preserve">Financial Analyst</w:t>
      </w:r>
      <w:r>
        <w:t xml:space="preserve"> </w:t>
      </w:r>
      <w:r>
        <w:t xml:space="preserve">as described herein, with services to be delivered in</w:t>
      </w:r>
      <w:r>
        <w:t xml:space="preserve"> </w:t>
      </w:r>
      <w:r>
        <w:rPr>
          <w:bCs/>
          <w:b/>
        </w:rPr>
        <w:t xml:space="preserve">Sudan Khartoum</w:t>
      </w:r>
      <w:r>
        <w:t xml:space="preserve">.</w:t>
      </w:r>
    </w:p>
    <w:p>
      <w:pPr>
        <w:pStyle w:val="BodyText"/>
      </w:pPr>
      <w:r>
        <w:rPr>
          <w:bCs/>
          <w:b/>
        </w:rPr>
        <w:t xml:space="preserve">For: Al-Nile Professional Consulting Group</w:t>
      </w:r>
      <w:r>
        <w:br/>
      </w:r>
      <w:r>
        <w:t xml:space="preserve">Name: _________________________</w:t>
      </w:r>
      <w:r>
        <w:br/>
      </w:r>
      <w:r>
        <w:t xml:space="preserve">Title: Managing Director</w:t>
      </w:r>
      <w:r>
        <w:br/>
      </w:r>
      <w:r>
        <w:t xml:space="preserve">Date: _________________________</w:t>
      </w:r>
    </w:p>
    <w:p>
      <w:pPr>
        <w:pStyle w:val="BodyText"/>
      </w:pPr>
      <w:r>
        <w:rPr>
          <w:bCs/>
          <w:b/>
        </w:rPr>
        <w:t xml:space="preserve">For: [Client Organization]</w:t>
      </w:r>
      <w:r>
        <w:br/>
      </w:r>
      <w:r>
        <w:t xml:space="preserve">Name: _________________________</w:t>
      </w:r>
      <w:r>
        <w:br/>
      </w:r>
      <w:r>
        <w:t xml:space="preserve">Title: _________________________</w:t>
      </w:r>
      <w:r>
        <w:br/>
      </w:r>
      <w:r>
        <w:t xml:space="preserve">Date: _________________________</w:t>
      </w:r>
    </w:p>
    <w:p>
      <w:pPr>
        <w:pStyle w:val="BodyText"/>
      </w:pPr>
      <w:r>
        <w:t xml:space="preserve">Al-Nile Professional Consulting Group | Al-Murra Business District, Khartoum, Sudan | Tel: +249-183-XXXXXX | Email: info@alnileconsulting.sd</w:t>
      </w:r>
    </w:p>
    <w:p>
      <w:pPr>
        <w:pStyle w:val="BodyText"/>
      </w:pPr>
      <w:r>
        <w:t xml:space="preserve">This Quotation Estimate document is confidential and intended solely for the named recipient. Unauthorized distribution is prohibited.</w:t>
      </w:r>
    </w:p>
    <w:p>
      <w:pPr>
        <w:pStyle w:val="BodyText"/>
      </w:pPr>
      <w:r>
        <w:t xml:space="preserve">Document QE-FA-KRT-2025-0472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Financial Analyst - Sudan Khartoum</dc:title>
  <dc:creator/>
  <dc:language>en</dc:language>
  <cp:keywords/>
  <dcterms:created xsi:type="dcterms:W3CDTF">2026-10-10T04:08:39Z</dcterms:created>
  <dcterms:modified xsi:type="dcterms:W3CDTF">2026-10-10T04:08:39Z</dcterms:modified>
</cp:coreProperties>
</file>

<file path=docProps/custom.xml><?xml version="1.0" encoding="utf-8"?>
<Properties xmlns="http://schemas.openxmlformats.org/officeDocument/2006/custom-properties" xmlns:vt="http://schemas.openxmlformats.org/officeDocument/2006/docPropsVTypes"/>
</file>