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Financial Analyst Services — Turkey Istanbul</w:t>
      </w:r>
    </w:p>
    <w:p>
      <w:pPr>
        <w:pStyle w:val="BodyText"/>
      </w:pPr>
      <w:r>
        <w:t xml:space="preserve">Document Reference: QE-FA-IST-2025-0417</w:t>
      </w:r>
    </w:p>
    <w:bookmarkEnd w:id="20"/>
    <w:p>
      <w:pPr>
        <w:pStyle w:val="BodyText"/>
      </w:pPr>
      <w:r>
        <w:rPr>
          <w:bCs/>
          <w:b/>
        </w:rPr>
        <w:t xml:space="preserve">Prepared For:</w:t>
      </w:r>
      <w:r>
        <w:t xml:space="preserve"> </w:t>
      </w:r>
      <w:r>
        <w:t xml:space="preserve">[Client Company Name], Istanbul, Turkey</w:t>
      </w:r>
    </w:p>
    <w:p>
      <w:pPr>
        <w:pStyle w:val="BodyText"/>
      </w:pPr>
      <w:r>
        <w:rPr>
          <w:bCs/>
          <w:b/>
        </w:rPr>
        <w:t xml:space="preserve">Prepared By:</w:t>
      </w:r>
      <w:r>
        <w:t xml:space="preserve"> </w:t>
      </w:r>
      <w:r>
        <w:t xml:space="preserve">Meridian Advisory &amp; Analytics LLC</w:t>
      </w:r>
    </w:p>
    <w:p>
      <w:pPr>
        <w:pStyle w:val="BodyText"/>
      </w:pPr>
      <w:r>
        <w:rPr>
          <w:bCs/>
          <w:b/>
        </w:rPr>
        <w:t xml:space="preserve">Date of Issue:</w:t>
      </w:r>
      <w:r>
        <w:t xml:space="preserve"> </w:t>
      </w:r>
      <w:r>
        <w:t xml:space="preserve">17 June 2025</w:t>
      </w:r>
    </w:p>
    <w:p>
      <w:pPr>
        <w:pStyle w:val="BodyText"/>
      </w:pPr>
      <w:r>
        <w:rPr>
          <w:bCs/>
          <w:b/>
        </w:rPr>
        <w:t xml:space="preserve">Valid Until:</w:t>
      </w:r>
      <w:r>
        <w:t xml:space="preserve"> </w:t>
      </w:r>
      <w:r>
        <w:t xml:space="preserve">17 July 2025</w:t>
      </w:r>
    </w:p>
    <w:p>
      <w:pPr>
        <w:pStyle w:val="BodyText"/>
      </w:pPr>
      <w:r>
        <w:rPr>
          <w:bCs/>
          <w:b/>
        </w:rPr>
        <w:t xml:space="preserve">Location of Service:</w:t>
      </w:r>
      <w:r>
        <w:t xml:space="preserve"> </w:t>
      </w:r>
      <w:r>
        <w:t xml:space="preserve">Turkey Istanbul, 34000</w:t>
      </w:r>
    </w:p>
    <w:p>
      <w:pPr>
        <w:pStyle w:val="BodyText"/>
      </w:pPr>
      <w:r>
        <w:rPr>
          <w:bCs/>
          <w:b/>
        </w:rPr>
        <w:t xml:space="preserve">Currency:</w:t>
      </w:r>
      <w:r>
        <w:t xml:space="preserve"> </w:t>
      </w:r>
      <w:r>
        <w:t xml:space="preserve">Turkish Lira (TRY) / US Dollar (USD)</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Meridian Advisory &amp; Analytics LLC to provide a comprehensive, itemised cost breakdown for the engagement of a dedicated</w:t>
      </w:r>
      <w:r>
        <w:t xml:space="preserve"> </w:t>
      </w:r>
      <w:r>
        <w:rPr>
          <w:bCs/>
          <w:b/>
        </w:rPr>
        <w:t xml:space="preserve">Financial Analyst</w:t>
      </w:r>
      <w:r>
        <w:t xml:space="preserve"> </w:t>
      </w:r>
      <w:r>
        <w:t xml:space="preserve">to operate within the</w:t>
      </w:r>
      <w:r>
        <w:t xml:space="preserve"> </w:t>
      </w:r>
      <w:r>
        <w:rPr>
          <w:bCs/>
          <w:b/>
        </w:rPr>
        <w:t xml:space="preserve">Turkey Istanbul</w:t>
      </w:r>
      <w:r>
        <w:t xml:space="preserve"> </w:t>
      </w:r>
      <w:r>
        <w:t xml:space="preserve">metropolitan business district. The scope of this Quotation Estimate covers the full spectrum of professional services that the Financial Analyst will deliver, including but not limited to financial modelling, variance analysis, budgeting support, investment appraisal, and regulatory reporting aligned with the Turkish Accounting Standards (TMS) and the requirements of the Capital Markets Board of Turkey (SPK).</w:t>
      </w:r>
    </w:p>
    <w:p>
      <w:pPr>
        <w:pStyle w:val="BodyText"/>
      </w:pPr>
      <w:r>
        <w:t xml:space="preserve">The Financial Analyst engagement is specifically tailored to the unique economic and regulatory environment of Turkey Istanbul, where currency volatility, inflation adjustments, and cross-border trade considerations demand a high degree of analytical rigour. This Quotation Estimate reflects the premium associated with delivering top-tier Financial Analyst expertise in one of the most dynamic financial hubs in the region.</w:t>
      </w:r>
    </w:p>
    <w:bookmarkEnd w:id="21"/>
    <w:bookmarkStart w:id="22" w:name="detailed-services-and-deliverables"/>
    <w:p>
      <w:pPr>
        <w:pStyle w:val="Heading2"/>
      </w:pPr>
      <w:r>
        <w:t xml:space="preserve">2. Detailed Services and Deliverables</w:t>
      </w:r>
    </w:p>
    <w:p>
      <w:pPr>
        <w:pStyle w:val="FirstParagraph"/>
      </w:pPr>
      <w:r>
        <w:t xml:space="preserve">The Financial Analyst assigned under this Quotation Estimate will provide the following core services on a full-time basis (40 hours per week) from the client's office in Turkey Istanbul or via a hybrid remote arrangement as agreed:</w:t>
      </w:r>
    </w:p>
    <w:p>
      <w:pPr>
        <w:numPr>
          <w:ilvl w:val="0"/>
          <w:numId w:val="1001"/>
        </w:numPr>
        <w:pStyle w:val="Compact"/>
      </w:pPr>
      <w:r>
        <w:rPr>
          <w:bCs/>
          <w:b/>
        </w:rPr>
        <w:t xml:space="preserve">Financial Modelling &amp; Forecasting:</w:t>
      </w:r>
      <w:r>
        <w:t xml:space="preserve"> </w:t>
      </w:r>
      <w:r>
        <w:t xml:space="preserve">Construction and maintenance of multi-year financial models incorporating Turkey-specific macroeconomic variables, including the Turkish Lira exchange rate, Central Bank of Turkey (TCMB) interest rate decisions, and Istanbul BIST index performance.</w:t>
      </w:r>
    </w:p>
    <w:p>
      <w:pPr>
        <w:numPr>
          <w:ilvl w:val="0"/>
          <w:numId w:val="1001"/>
        </w:numPr>
        <w:pStyle w:val="Compact"/>
      </w:pPr>
      <w:r>
        <w:rPr>
          <w:bCs/>
          <w:b/>
        </w:rPr>
        <w:t xml:space="preserve">Budgeting &amp; Variance Analysis:</w:t>
      </w:r>
      <w:r>
        <w:t xml:space="preserve"> </w:t>
      </w:r>
      <w:r>
        <w:t xml:space="preserve">Monthly preparation of detailed budget-to-actual variance reports for all business units operating in Turkey Istanbul, with root-cause analysis and corrective recommendations.</w:t>
      </w:r>
    </w:p>
    <w:p>
      <w:pPr>
        <w:numPr>
          <w:ilvl w:val="0"/>
          <w:numId w:val="1001"/>
        </w:numPr>
        <w:pStyle w:val="Compact"/>
      </w:pPr>
      <w:r>
        <w:rPr>
          <w:bCs/>
          <w:b/>
        </w:rPr>
        <w:t xml:space="preserve">Investment Appraisal:</w:t>
      </w:r>
      <w:r>
        <w:t xml:space="preserve"> </w:t>
      </w:r>
      <w:r>
        <w:t xml:space="preserve">Discounted Cash Flow (DCF) analysis, Net Present Value (NPV) calculations, and Internal Rate of Return (IRR) assessments for capital expenditure projects, adjusted for Turkey's prevailing inflation and risk-free rate.</w:t>
      </w:r>
    </w:p>
    <w:p>
      <w:pPr>
        <w:numPr>
          <w:ilvl w:val="0"/>
          <w:numId w:val="1001"/>
        </w:numPr>
        <w:pStyle w:val="Compact"/>
      </w:pPr>
      <w:r>
        <w:rPr>
          <w:bCs/>
          <w:b/>
        </w:rPr>
        <w:t xml:space="preserve">Regulatory &amp; Tax Reporting Support:</w:t>
      </w:r>
      <w:r>
        <w:t xml:space="preserve"> </w:t>
      </w:r>
      <w:r>
        <w:t xml:space="preserve">Preparation of financial schedules in compliance with Turkish Commercial Code (TCC) Article 375 requirements, SPK disclosure obligations, and the Turkish Revenue Administration (GİB) tax filing calendar.</w:t>
      </w:r>
    </w:p>
    <w:p>
      <w:pPr>
        <w:numPr>
          <w:ilvl w:val="0"/>
          <w:numId w:val="1001"/>
        </w:numPr>
        <w:pStyle w:val="Compact"/>
      </w:pPr>
      <w:r>
        <w:rPr>
          <w:bCs/>
          <w:b/>
        </w:rPr>
        <w:t xml:space="preserve">Ad-hoc Analytical Support:</w:t>
      </w:r>
      <w:r>
        <w:t xml:space="preserve"> </w:t>
      </w:r>
      <w:r>
        <w:t xml:space="preserve">On-demand data extraction, scenario modelling, and executive presentation support for board meetings held in Turkey Istanbul.</w:t>
      </w:r>
    </w:p>
    <w:bookmarkEnd w:id="22"/>
    <w:bookmarkStart w:id="23" w:name="X83c4279fdfe0006302ff32c697d8131583a5b8b"/>
    <w:p>
      <w:pPr>
        <w:pStyle w:val="Heading2"/>
      </w:pPr>
      <w:r>
        <w:t xml:space="preserve">3. Quotation Estimate –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Financial Analyst – Monthly Professional Fee (Full-time, 168 hrs/month)</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Initial Onboarding &amp; System Integration (ERP, BI tools, SPK portals)</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Financial Model Development &amp; Calibration (Turkey Istanbul market parameters)</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Quarterly Deep-Dive Analytical Reports (4 reports per year)</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05</w:t>
            </w:r>
          </w:p>
        </w:tc>
        <w:tc>
          <w:tcPr/>
          <w:p>
            <w:pPr>
              <w:pStyle w:val="Compact"/>
              <w:jc w:val="left"/>
            </w:pPr>
            <w:r>
              <w:t xml:space="preserve">Regulatory Compliance Review &amp; SPK Filing Assistance</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Travel &amp; Local Transportation within Turkey Istanbul (estimated)</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07</w:t>
            </w:r>
          </w:p>
        </w:tc>
        <w:tc>
          <w:tcPr/>
          <w:p>
            <w:pPr>
              <w:pStyle w:val="Compact"/>
              <w:jc w:val="left"/>
            </w:pPr>
            <w:r>
              <w:t xml:space="preserve">Software Licences (Advanced Excel, Power BI, Bloomberg Terminal access)</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08</w:t>
            </w:r>
          </w:p>
        </w:tc>
        <w:tc>
          <w:tcPr/>
          <w:p>
            <w:pPr>
              <w:pStyle w:val="Compact"/>
              <w:jc w:val="left"/>
            </w:pPr>
            <w:r>
              <w:t xml:space="preserve">Contingency &amp; Overtime Provision (up to 10% of base fee)</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222,000</w:t>
            </w:r>
          </w:p>
        </w:tc>
      </w:tr>
      <w:tr>
        <w:tc>
          <w:tcPr>
            <w:gridSpan w:val="4"/>
          </w:tcPr>
          <w:p>
            <w:pPr>
              <w:pStyle w:val="Compact"/>
              <w:jc w:val="left"/>
            </w:pPr>
            <w:r>
              <w:t xml:space="preserve">TOTAL QUOTATION ESTIMATE (Excl. 20% KDV / VAT)</w:t>
            </w:r>
          </w:p>
        </w:tc>
        <w:tc>
          <w:tcPr/>
          <w:p>
            <w:pPr>
              <w:pStyle w:val="Compact"/>
              <w:jc w:val="left"/>
            </w:pPr>
            <w:r>
              <w:t xml:space="preserve">3,287,000</w:t>
            </w:r>
          </w:p>
        </w:tc>
      </w:tr>
      <w:tr>
        <w:tc>
          <w:tcPr>
            <w:gridSpan w:val="4"/>
          </w:tcPr>
          <w:p>
            <w:pPr>
              <w:pStyle w:val="Compact"/>
              <w:jc w:val="left"/>
            </w:pPr>
            <w:r>
              <w:t xml:space="preserve">KDV / VAT (20%)</w:t>
            </w:r>
          </w:p>
        </w:tc>
        <w:tc>
          <w:tcPr/>
          <w:p>
            <w:pPr>
              <w:pStyle w:val="Compact"/>
              <w:jc w:val="left"/>
            </w:pPr>
            <w:r>
              <w:t xml:space="preserve">657,400</w:t>
            </w:r>
          </w:p>
        </w:tc>
      </w:tr>
      <w:tr>
        <w:tc>
          <w:tcPr>
            <w:gridSpan w:val="4"/>
          </w:tcPr>
          <w:p>
            <w:pPr>
              <w:pStyle w:val="Compact"/>
              <w:jc w:val="left"/>
            </w:pPr>
            <w:r>
              <w:t xml:space="preserve">GRAND TOTAL (Incl. VAT)</w:t>
            </w:r>
          </w:p>
        </w:tc>
        <w:tc>
          <w:tcPr/>
          <w:p>
            <w:pPr>
              <w:pStyle w:val="Compact"/>
              <w:jc w:val="left"/>
            </w:pPr>
            <w:r>
              <w:t xml:space="preserve">3,944,400</w:t>
            </w:r>
          </w:p>
        </w:tc>
      </w:tr>
    </w:tbl>
    <w:bookmarkEnd w:id="23"/>
    <w:bookmarkStart w:id="24" w:name="payment-terms-and-schedule"/>
    <w:p>
      <w:pPr>
        <w:pStyle w:val="Heading2"/>
      </w:pPr>
      <w:r>
        <w:t xml:space="preserve">4. Payment Terms and Schedule</w:t>
      </w:r>
    </w:p>
    <w:p>
      <w:pPr>
        <w:pStyle w:val="FirstParagraph"/>
      </w:pPr>
      <w:r>
        <w:t xml:space="preserve">As outlined in this Quotation Estimate, payment for the Financial Analyst services shall be made on a monthly basis, invoiced in arrears by the 5th business day of the following month. The initial one-time fees (Items 02 and 03) are payable within 14 calendar days of the signed service agreement. All amounts are denominated in Turkish Lira (TRY) and are subject to the prevailing KDV (Value Added Tax) rate of 20% as mandated by the Turkish Revenue Administration. In the event of significant TRY/USD fluctuation exceeding 15% during the contract term, a mutual review clause will be triggered to adjust the Financial Analyst fee accordingly, ensuring fairness for both parties operating in the Turkey Istanbul market.</w:t>
      </w:r>
    </w:p>
    <w:bookmarkEnd w:id="24"/>
    <w:bookmarkStart w:id="25" w:name="terms-conditions-and-validity"/>
    <w:p>
      <w:pPr>
        <w:pStyle w:val="Heading2"/>
      </w:pPr>
      <w:r>
        <w:t xml:space="preserve">5. Terms, Conditions, and Validity</w:t>
      </w:r>
    </w:p>
    <w:p>
      <w:pPr>
        <w:numPr>
          <w:ilvl w:val="0"/>
          <w:numId w:val="1002"/>
        </w:numPr>
        <w:pStyle w:val="Compact"/>
      </w:pPr>
      <w:r>
        <w:t xml:space="preserve">This Quotation Estimate is valid for 30 calendar days from the date of issue. Beyond this period, the Financial Analyst rates and Turkey Istanbul cost indices may be revised.</w:t>
      </w:r>
    </w:p>
    <w:p>
      <w:pPr>
        <w:numPr>
          <w:ilvl w:val="0"/>
          <w:numId w:val="1002"/>
        </w:numPr>
        <w:pStyle w:val="Compact"/>
      </w:pPr>
      <w:r>
        <w:t xml:space="preserve">The Financial Analyst shall be bound by a strict Non-Disclosure Agreement (NDA) and a non-compete clause for a period of 12 months post-engagement, in compliance with Turkish Labour Law (Law No. 4857).</w:t>
      </w:r>
    </w:p>
    <w:p>
      <w:pPr>
        <w:numPr>
          <w:ilvl w:val="0"/>
          <w:numId w:val="1002"/>
        </w:numPr>
        <w:pStyle w:val="Compact"/>
      </w:pPr>
      <w:r>
        <w:t xml:space="preserve">Either party may terminate the engagement with 30 days' written notice. In such a case, a pro-rata settlement of the Financial Analyst fee will be calculated based on actual days worked in Turkey Istanbul.</w:t>
      </w:r>
    </w:p>
    <w:p>
      <w:pPr>
        <w:numPr>
          <w:ilvl w:val="0"/>
          <w:numId w:val="1002"/>
        </w:numPr>
        <w:pStyle w:val="Compact"/>
      </w:pPr>
      <w:r>
        <w:t xml:space="preserve">All intellectual property, financial models, and analytical outputs produced by the Financial Analyst during the engagement shall become the sole property of the client upon full payment.</w:t>
      </w:r>
    </w:p>
    <w:p>
      <w:pPr>
        <w:numPr>
          <w:ilvl w:val="0"/>
          <w:numId w:val="1002"/>
        </w:numPr>
        <w:pStyle w:val="Compact"/>
      </w:pPr>
      <w:r>
        <w:t xml:space="preserve">This Quotation Estimate does not constitute a binding contract until countersigned by both parties and registered with the relevant commercial registry in Turkey Istanbul.</w:t>
      </w:r>
    </w:p>
    <w:p>
      <w:pPr>
        <w:pStyle w:val="FirstParagraph"/>
      </w:pPr>
      <w:r>
        <w:rPr>
          <w:bCs/>
          <w:b/>
        </w:rPr>
        <w:t xml:space="preserve">Important Note:</w:t>
      </w:r>
      <w:r>
        <w:t xml:space="preserve"> </w:t>
      </w:r>
      <w:r>
        <w:t xml:space="preserve">This Quotation Estimate assumes standard business hours (Monday to Friday, 09:00–18:00 Turkey Istanbul time, GMT+3). Any work performed outside these hours, on Turkish public holidays, or during Ramadan-adjusted working schedules will be billed at 1.5× the standard hourly rate of the Financial Analyst.</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that they have read, understood, and agreed to all terms set forth in this Quotation Estimate for the engagement of the Financial Analyst in Turkey Istanbul. This document, once executed, shall serve as the foundational pricing reference for the duration of the service agreement.</w:t>
      </w:r>
    </w:p>
    <w:p>
      <w:pPr>
        <w:pStyle w:val="BodyText"/>
      </w:pPr>
      <w:r>
        <w:rPr>
          <w:bCs/>
          <w:b/>
        </w:rPr>
        <w:t xml:space="preserve">For Meridian Advisory &amp; Analytics LLC</w:t>
      </w:r>
      <w:r>
        <w:br/>
      </w:r>
      <w:r>
        <w:t xml:space="preserve">Name: _______________________</w:t>
      </w:r>
      <w:r>
        <w:br/>
      </w:r>
      <w:r>
        <w:t xml:space="preserve">Title: Managing Director</w:t>
      </w:r>
      <w:r>
        <w:br/>
      </w:r>
      <w:r>
        <w:t xml:space="preserve">Date: _______________________</w:t>
      </w:r>
    </w:p>
    <w:p>
      <w:pPr>
        <w:pStyle w:val="BodyText"/>
      </w:pPr>
      <w:r>
        <w:rPr>
          <w:bCs/>
          <w:b/>
        </w:rPr>
        <w:t xml:space="preserve">For [Client Company Name]</w:t>
      </w:r>
      <w:r>
        <w:br/>
      </w:r>
      <w:r>
        <w:t xml:space="preserve">Name: _______________________</w:t>
      </w:r>
      <w:r>
        <w:br/>
      </w:r>
      <w:r>
        <w:t xml:space="preserve">Title: _______________________</w:t>
      </w:r>
      <w:r>
        <w:br/>
      </w:r>
      <w:r>
        <w:t xml:space="preserve">Date: _______________________</w:t>
      </w:r>
    </w:p>
    <w:p>
      <w:pPr>
        <w:pStyle w:val="BodyText"/>
      </w:pPr>
      <w:r>
        <w:t xml:space="preserve">Meridian Advisory &amp; Analytics LLC — Office: Levent, Büyükdere Caddesi No: 190, 34394 Istanbul, Turkey</w:t>
      </w:r>
      <w:r>
        <w:br/>
      </w:r>
      <w:r>
        <w:t xml:space="preserve">Tel: +90 212 XXX XX XX  |  Email: quotations@meridiananalytics.com.tr  |  Tax No: 1234567890</w:t>
      </w:r>
      <w:r>
        <w:br/>
      </w:r>
      <w:r>
        <w:t xml:space="preserve">This Quotation Estimate is the property of Meridian Advisory &amp; Analytics LLC. Unauthorised reproduction is prohibited under Turkish Intellectual Property Law No. 5510.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Turkey Istanbul</dc:title>
  <dc:creator/>
  <dc:language>en</dc:language>
  <cp:keywords/>
  <dcterms:created xsi:type="dcterms:W3CDTF">2026-10-10T04:05:31Z</dcterms:created>
  <dcterms:modified xsi:type="dcterms:W3CDTF">2026-10-10T04:05:31Z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