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l-noor-financial-consulting-llc"/>
    <w:p>
      <w:pPr>
        <w:pStyle w:val="Heading1"/>
      </w:pPr>
      <w:r>
        <w:t xml:space="preserve">AL NOOR FINANCIAL CONSULTING LLC</w:t>
      </w:r>
    </w:p>
    <w:p>
      <w:pPr>
        <w:pStyle w:val="FirstParagraph"/>
      </w:pPr>
      <w:r>
        <w:t xml:space="preserve">Office 1204, Level 12, Al Reem Island Tower, Abu Dhabi, United Arab Emirates</w:t>
      </w:r>
    </w:p>
    <w:p>
      <w:pPr>
        <w:pStyle w:val="BodyText"/>
      </w:pPr>
      <w:r>
        <w:t xml:space="preserve">Tel: +971 2 445 6789 | Email: quotations@alnoorfinancial.ae | TRN: 100234567800003</w:t>
      </w:r>
    </w:p>
    <w:p>
      <w:pPr>
        <w:pStyle w:val="BodyText"/>
      </w:pPr>
      <w:r>
        <w:t xml:space="preserve">License No: AD-2019-45821 | DED Registration: 102345678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QTE-AD-2025-0347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AED (United Arab Emirates Dirham)</w:t>
      </w:r>
    </w:p>
    <w:p>
      <w:pPr>
        <w:pStyle w:val="BodyText"/>
      </w:pPr>
      <w:r>
        <w:t xml:space="preserve">United Arab Emirates Abu Dhabi</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Gulf Horizon Energy Group LLC</w:t>
      </w:r>
    </w:p>
    <w:p>
      <w:pPr>
        <w:pStyle w:val="BodyText"/>
      </w:pPr>
      <w:r>
        <w:rPr>
          <w:bCs/>
          <w:b/>
        </w:rPr>
        <w:t xml:space="preserve">Address:</w:t>
      </w:r>
      <w:r>
        <w:t xml:space="preserve"> </w:t>
      </w:r>
      <w:r>
        <w:t xml:space="preserve">Corniche Road, Abu Dhabi, United Arab Emirates</w:t>
      </w:r>
    </w:p>
    <w:p>
      <w:pPr>
        <w:pStyle w:val="BodyText"/>
      </w:pPr>
      <w:r>
        <w:rPr>
          <w:bCs/>
          <w:b/>
        </w:rPr>
        <w:t xml:space="preserve">Attn:</w:t>
      </w:r>
      <w:r>
        <w:t xml:space="preserve"> </w:t>
      </w:r>
      <w:r>
        <w:t xml:space="preserve">Mr. Khalid Al Mansoori, CFO</w:t>
      </w:r>
    </w:p>
    <w:p>
      <w:pPr>
        <w:pStyle w:val="BodyText"/>
      </w:pPr>
      <w:r>
        <w:rPr>
          <w:bCs/>
          <w:b/>
        </w:rPr>
        <w:t xml:space="preserve">Contact:</w:t>
      </w:r>
      <w:r>
        <w:t xml:space="preserve"> </w:t>
      </w:r>
      <w:r>
        <w:t xml:space="preserve">+971 2 556 7890</w:t>
      </w:r>
    </w:p>
    <w:p>
      <w:pPr>
        <w:pStyle w:val="BodyText"/>
      </w:pPr>
      <w:r>
        <w:rPr>
          <w:bCs/>
          <w:b/>
        </w:rPr>
        <w:t xml:space="preserve">Client Ref:</w:t>
      </w:r>
      <w:r>
        <w:t xml:space="preserve"> </w:t>
      </w:r>
      <w:r>
        <w:t xml:space="preserve">GHE-2025-HR-089</w:t>
      </w:r>
    </w:p>
    <w:bookmarkEnd w:id="22"/>
    <w:bookmarkStart w:id="23" w:name="X7857e8336aa5afa32774bdc2b7f9c54380dc41a"/>
    <w:p>
      <w:pPr>
        <w:pStyle w:val="Heading2"/>
      </w:pPr>
      <w:r>
        <w:t xml:space="preserve">1. Scope of Engagement – Financial Analyst Services</w:t>
      </w:r>
    </w:p>
    <w:p>
      <w:pPr>
        <w:pStyle w:val="FirstParagraph"/>
      </w:pPr>
      <w:r>
        <w:t xml:space="preserve">This Quotation Estimate is issued by Al Noor Financial Consulting LLC for the provision of a dedicated</w:t>
      </w:r>
      <w:r>
        <w:t xml:space="preserve"> </w:t>
      </w:r>
      <w:r>
        <w:t xml:space="preserve">Financial Analyst</w:t>
      </w:r>
      <w:r>
        <w:t xml:space="preserve"> </w:t>
      </w:r>
      <w:r>
        <w:t xml:space="preserve">to support the operations of Gulf Horizon Energy Group LLC, headquartered in</w:t>
      </w:r>
      <w:r>
        <w:t xml:space="preserve"> </w:t>
      </w:r>
      <w:r>
        <w:t xml:space="preserve">United Arab Emirates Abu Dhabi</w:t>
      </w:r>
      <w:r>
        <w:t xml:space="preserve">. The Financial Analyst will be embedded within the client's finance department and will report directly to the Chief Financial Officer. The engagement is structured to deliver comprehensive financial analysis, forecasting, and reporting capabilities aligned with the regulatory and commercial environment of Abu Dhabi and the broader United Arab Emirates.</w:t>
      </w:r>
    </w:p>
    <w:bookmarkEnd w:id="23"/>
    <w:bookmarkStart w:id="24" w:name="detailed-services-and-deliverables"/>
    <w:p>
      <w:pPr>
        <w:pStyle w:val="Heading2"/>
      </w:pPr>
      <w:r>
        <w:t xml:space="preserve">2. Detailed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Cost (AED)</w:t>
            </w:r>
          </w:p>
        </w:tc>
      </w:tr>
      <w:tr>
        <w:tc>
          <w:tcPr/>
          <w:p>
            <w:pPr>
              <w:pStyle w:val="Compact"/>
              <w:jc w:val="left"/>
            </w:pPr>
            <w:r>
              <w:t xml:space="preserve">1</w:t>
            </w:r>
          </w:p>
        </w:tc>
        <w:tc>
          <w:tcPr/>
          <w:p>
            <w:pPr>
              <w:pStyle w:val="Compact"/>
              <w:jc w:val="left"/>
            </w:pPr>
            <w:r>
              <w:t xml:space="preserve">Monthly Financial Performance Analysis &amp; Variance Reporting for the Financial Analyst role</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18,000</w:t>
            </w:r>
          </w:p>
        </w:tc>
      </w:tr>
      <w:tr>
        <w:tc>
          <w:tcPr/>
          <w:p>
            <w:pPr>
              <w:pStyle w:val="Compact"/>
              <w:jc w:val="left"/>
            </w:pPr>
            <w:r>
              <w:t xml:space="preserve">2</w:t>
            </w:r>
          </w:p>
        </w:tc>
        <w:tc>
          <w:tcPr/>
          <w:p>
            <w:pPr>
              <w:pStyle w:val="Compact"/>
              <w:jc w:val="left"/>
            </w:pPr>
            <w:r>
              <w:t xml:space="preserve">Quarterly Budget Forecasting &amp; Cash Flow Modelling (Financial Analyst deliverable)</w:t>
            </w:r>
          </w:p>
        </w:tc>
        <w:tc>
          <w:tcPr/>
          <w:p>
            <w:pPr>
              <w:pStyle w:val="Compact"/>
              <w:jc w:val="left"/>
            </w:pPr>
            <w:r>
              <w:t xml:space="preserve">Quarterly</w:t>
            </w:r>
          </w:p>
        </w:tc>
        <w:tc>
          <w:tcPr/>
          <w:p>
            <w:pPr>
              <w:pStyle w:val="Compact"/>
              <w:jc w:val="left"/>
            </w:pPr>
            <w:r>
              <w:t xml:space="preserve">12 months</w:t>
            </w:r>
          </w:p>
        </w:tc>
        <w:tc>
          <w:tcPr/>
          <w:p>
            <w:pPr>
              <w:pStyle w:val="Compact"/>
              <w:jc w:val="left"/>
            </w:pPr>
            <w:r>
              <w:t xml:space="preserve">24,000</w:t>
            </w:r>
          </w:p>
        </w:tc>
      </w:tr>
      <w:tr>
        <w:tc>
          <w:tcPr/>
          <w:p>
            <w:pPr>
              <w:pStyle w:val="Compact"/>
              <w:jc w:val="left"/>
            </w:pPr>
            <w:r>
              <w:t xml:space="preserve">3</w:t>
            </w:r>
          </w:p>
        </w:tc>
        <w:tc>
          <w:tcPr/>
          <w:p>
            <w:pPr>
              <w:pStyle w:val="Compact"/>
              <w:jc w:val="left"/>
            </w:pPr>
            <w:r>
              <w:t xml:space="preserve">Annual Financial Planning &amp; Strategic Analysis Report for Abu Dhabi operations</w:t>
            </w:r>
          </w:p>
        </w:tc>
        <w:tc>
          <w:tcPr/>
          <w:p>
            <w:pPr>
              <w:pStyle w:val="Compact"/>
              <w:jc w:val="left"/>
            </w:pPr>
            <w:r>
              <w:t xml:space="preserve">Annual</w:t>
            </w:r>
          </w:p>
        </w:tc>
        <w:tc>
          <w:tcPr/>
          <w:p>
            <w:pPr>
              <w:pStyle w:val="Compact"/>
              <w:jc w:val="left"/>
            </w:pPr>
            <w:r>
              <w:t xml:space="preserve">12 months</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Regulatory Compliance Reporting (UAE Corporate Tax, VAT, ADGM/ADIA requirements)</w:t>
            </w:r>
          </w:p>
        </w:tc>
        <w:tc>
          <w:tcPr/>
          <w:p>
            <w:pPr>
              <w:pStyle w:val="Compact"/>
              <w:jc w:val="left"/>
            </w:pPr>
            <w:r>
              <w:t xml:space="preserve">As required</w:t>
            </w:r>
          </w:p>
        </w:tc>
        <w:tc>
          <w:tcPr/>
          <w:p>
            <w:pPr>
              <w:pStyle w:val="Compact"/>
              <w:jc w:val="left"/>
            </w:pPr>
            <w:r>
              <w:t xml:space="preserve">12 months</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Ad-hoc Financial Modelling, Due Diligence Support &amp; Investment Analysis</w:t>
            </w:r>
          </w:p>
        </w:tc>
        <w:tc>
          <w:tcPr/>
          <w:p>
            <w:pPr>
              <w:pStyle w:val="Compact"/>
              <w:jc w:val="left"/>
            </w:pPr>
            <w:r>
              <w:t xml:space="preserve">On demand</w:t>
            </w:r>
          </w:p>
        </w:tc>
        <w:tc>
          <w:tcPr/>
          <w:p>
            <w:pPr>
              <w:pStyle w:val="Compact"/>
              <w:jc w:val="left"/>
            </w:pPr>
            <w:r>
              <w:t xml:space="preserve">12 months</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On-site presence at client office, Al Reem Island, Abu Dhabi (5 days/week)</w:t>
            </w:r>
          </w:p>
        </w:tc>
        <w:tc>
          <w:tcPr/>
          <w:p>
            <w:pPr>
              <w:pStyle w:val="Compact"/>
              <w:jc w:val="left"/>
            </w:pPr>
            <w:r>
              <w:t xml:space="preserve">Weekly</w:t>
            </w:r>
          </w:p>
        </w:tc>
        <w:tc>
          <w:tcPr/>
          <w:p>
            <w:pPr>
              <w:pStyle w:val="Compact"/>
              <w:jc w:val="left"/>
            </w:pPr>
            <w:r>
              <w:t xml:space="preserve">12 months</w:t>
            </w:r>
          </w:p>
        </w:tc>
        <w:tc>
          <w:tcPr/>
          <w:p>
            <w:pPr>
              <w:pStyle w:val="Compact"/>
              <w:jc w:val="left"/>
            </w:pPr>
            <w:r>
              <w:t xml:space="preserve">12,000</w:t>
            </w:r>
          </w:p>
        </w:tc>
      </w:tr>
      <w:tr>
        <w:tc>
          <w:tcPr/>
          <w:p>
            <w:pPr>
              <w:pStyle w:val="Compact"/>
              <w:jc w:val="left"/>
            </w:pPr>
            <w:r>
              <w:t xml:space="preserve">7</w:t>
            </w:r>
          </w:p>
        </w:tc>
        <w:tc>
          <w:tcPr/>
          <w:p>
            <w:pPr>
              <w:pStyle w:val="Compact"/>
              <w:jc w:val="left"/>
            </w:pPr>
            <w:r>
              <w:t xml:space="preserve">Access to financial software licenses (SAP, Power BI, Excel Advanced)</w:t>
            </w:r>
          </w:p>
        </w:tc>
        <w:tc>
          <w:tcPr/>
          <w:p>
            <w:pPr>
              <w:pStyle w:val="Compact"/>
              <w:jc w:val="left"/>
            </w:pPr>
            <w:r>
              <w:t xml:space="preserve">Continuous</w:t>
            </w:r>
          </w:p>
        </w:tc>
        <w:tc>
          <w:tcPr/>
          <w:p>
            <w:pPr>
              <w:pStyle w:val="Compact"/>
              <w:jc w:val="left"/>
            </w:pPr>
            <w:r>
              <w:t xml:space="preserve">12 months</w:t>
            </w:r>
          </w:p>
        </w:tc>
        <w:tc>
          <w:tcPr/>
          <w:p>
            <w:pPr>
              <w:pStyle w:val="Compact"/>
              <w:jc w:val="left"/>
            </w:pPr>
            <w:r>
              <w:t xml:space="preserve">8,000</w:t>
            </w:r>
          </w:p>
        </w:tc>
      </w:tr>
      <w:tr>
        <w:tc>
          <w:tcPr>
            <w:gridSpan w:val="4"/>
          </w:tcPr>
          <w:p>
            <w:pPr>
              <w:pStyle w:val="Compact"/>
              <w:jc w:val="left"/>
            </w:pPr>
            <w:r>
              <w:t xml:space="preserve">TOTAL ESTIMATED COST (AED)</w:t>
            </w:r>
          </w:p>
        </w:tc>
        <w:tc>
          <w:tcPr/>
          <w:p>
            <w:pPr>
              <w:pStyle w:val="Compact"/>
              <w:jc w:val="left"/>
            </w:pPr>
            <w:r>
              <w:t xml:space="preserve">132,000</w:t>
            </w:r>
          </w:p>
        </w:tc>
      </w:tr>
    </w:tbl>
    <w:bookmarkEnd w:id="24"/>
    <w:bookmarkStart w:id="25" w:name="financial-analyst-profile-qualifications"/>
    <w:p>
      <w:pPr>
        <w:pStyle w:val="Heading2"/>
      </w:pPr>
      <w:r>
        <w:t xml:space="preserve">3. Financial Analyst Profile &amp; Qualifications</w:t>
      </w:r>
    </w:p>
    <w:p>
      <w:pPr>
        <w:pStyle w:val="FirstParagraph"/>
      </w:pPr>
      <w:r>
        <w:t xml:space="preserve">The Financial Analyst assigned under this Quotation Estimate will possess a minimum of five (5) years of progressive experience in financial analysis within the United Arab Emirates, with specific exposure to Abu Dhabi's energy, real estate, and financial services sectors. The candidate will hold a professional certification (CFA, CMA, or ACCA) and demonstrate proficiency in IFRS, UAE Corporate Tax Law (Federal Decree-Law No. 47 of 2022), and local regulatory reporting standards. The Financial Analyst will be a UAE national or hold a valid UAE residence visa, ensuring full compliance with Abu Dhabi labour regulations and the United Arab Emirates employment framework.</w:t>
      </w:r>
    </w:p>
    <w:bookmarkEnd w:id="25"/>
    <w:bookmarkStart w:id="26"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Beyond this period, pricing may be subject to revision based on market conditions in the United Arab Emirates Abu Dhabi financial services sector.</w:t>
      </w:r>
    </w:p>
    <w:p>
      <w:pPr>
        <w:numPr>
          <w:ilvl w:val="0"/>
          <w:numId w:val="1001"/>
        </w:numPr>
        <w:pStyle w:val="Compact"/>
      </w:pPr>
      <w:r>
        <w:t xml:space="preserve">Payment terms: 50% advance upon acceptance of this Quotation Estimate, with the remaining 50% payable in two equal monthly instalments at the end of month six and month twelve of the engagement.</w:t>
      </w:r>
    </w:p>
    <w:p>
      <w:pPr>
        <w:numPr>
          <w:ilvl w:val="0"/>
          <w:numId w:val="1001"/>
        </w:numPr>
        <w:pStyle w:val="Compact"/>
      </w:pPr>
      <w:r>
        <w:t xml:space="preserve">All fees are quoted in United Arab Emirates Dirhams (AED) and are inclusive of applicable UAE Value Added Tax (VAT) at 5% as mandated by the Federal Tax Authority, Abu Dhabi.</w:t>
      </w:r>
    </w:p>
    <w:p>
      <w:pPr>
        <w:numPr>
          <w:ilvl w:val="0"/>
          <w:numId w:val="1001"/>
        </w:numPr>
        <w:pStyle w:val="Compact"/>
      </w:pPr>
      <w:r>
        <w:t xml:space="preserve">The Financial Analyst shall adhere to the client's confidentiality policies and the data protection regulations applicable in the United Arab Emirates. All financial data processed in Abu Dhabi shall remain within UAE jurisdiction.</w:t>
      </w:r>
    </w:p>
    <w:p>
      <w:pPr>
        <w:numPr>
          <w:ilvl w:val="0"/>
          <w:numId w:val="1001"/>
        </w:numPr>
        <w:pStyle w:val="Compact"/>
      </w:pPr>
      <w:r>
        <w:t xml:space="preserve">Any additional services beyond the scope outlined in Section 2 shall be subject to a separate written amendment to this Quotation Estimate, approved by both parties.</w:t>
      </w:r>
    </w:p>
    <w:p>
      <w:pPr>
        <w:numPr>
          <w:ilvl w:val="0"/>
          <w:numId w:val="1001"/>
        </w:numPr>
        <w:pStyle w:val="Compact"/>
      </w:pPr>
      <w:r>
        <w:t xml:space="preserve">This engagement is governed by the laws of the United Arab Emirates, and any disputes shall be resolved through the Abu Dhabi Courts or by arbitration under the rules of the Abu Dhabi Global Market (ADGM) Financial Services Regulatory Authority, as mutually agreed.</w:t>
      </w:r>
    </w:p>
    <w:p>
      <w:pPr>
        <w:numPr>
          <w:ilvl w:val="0"/>
          <w:numId w:val="1001"/>
        </w:numPr>
        <w:pStyle w:val="Compact"/>
      </w:pPr>
      <w:r>
        <w:t xml:space="preserve">Either party may terminate this engagement with thirty (30) days' written notice. In such an event, the Financial Analyst's services shall be rendered pro-rata for the period actually served.</w:t>
      </w:r>
    </w:p>
    <w:bookmarkEnd w:id="26"/>
    <w:bookmarkStart w:id="27" w:name="acceptance-authorization"/>
    <w:p>
      <w:pPr>
        <w:pStyle w:val="Heading2"/>
      </w:pPr>
      <w:r>
        <w:t xml:space="preserve">5. Acceptance &amp; Authorization</w:t>
      </w:r>
    </w:p>
    <w:p>
      <w:pPr>
        <w:pStyle w:val="FirstParagraph"/>
      </w:pPr>
      <w:r>
        <w:t xml:space="preserve">By signing below, the client acknowledges and accepts this Quotation Estimate for the engagement of a Financial Analyst in United Arab Emirates Abu Dhabi as described herein. This document constitutes a binding commercial offer upon countersignature by both parties.</w:t>
      </w:r>
    </w:p>
    <w:p>
      <w:pPr>
        <w:pStyle w:val="BodyText"/>
      </w:pPr>
      <w:r>
        <w:rPr>
          <w:bCs/>
          <w:b/>
        </w:rPr>
        <w:t xml:space="preserve">For: Al Noor Financial Consulting LLC</w:t>
      </w:r>
      <w:r>
        <w:br/>
      </w:r>
      <w:r>
        <w:t xml:space="preserve">Name: Sarah Al Farsi</w:t>
      </w:r>
      <w:r>
        <w:br/>
      </w:r>
      <w:r>
        <w:t xml:space="preserve">Title: Managing Director</w:t>
      </w:r>
      <w:r>
        <w:br/>
      </w:r>
      <w:r>
        <w:t xml:space="preserve">Date: _______________</w:t>
      </w:r>
    </w:p>
    <w:p>
      <w:pPr>
        <w:pStyle w:val="BodyText"/>
      </w:pPr>
      <w:r>
        <w:rPr>
          <w:bCs/>
          <w:b/>
        </w:rPr>
        <w:t xml:space="preserve">For: Gulf Horizon Energy Group LLC</w:t>
      </w:r>
      <w:r>
        <w:br/>
      </w:r>
      <w:r>
        <w:t xml:space="preserve">Name: Khalid Al Mansoori</w:t>
      </w:r>
      <w:r>
        <w:br/>
      </w:r>
      <w:r>
        <w:t xml:space="preserve">Title: Chief Financial Officer</w:t>
      </w:r>
      <w:r>
        <w:br/>
      </w:r>
      <w:r>
        <w:t xml:space="preserve">Date: _______________</w:t>
      </w:r>
    </w:p>
    <w:p>
      <w:pPr>
        <w:pStyle w:val="BodyText"/>
      </w:pPr>
      <w:r>
        <w:t xml:space="preserve">Al Noor Financial Consulting LLC | Office 1204, Al Reem Island Tower, Abu Dhabi, United Arab Emirates</w:t>
      </w:r>
    </w:p>
    <w:p>
      <w:pPr>
        <w:pStyle w:val="BodyText"/>
      </w:pPr>
      <w:r>
        <w:t xml:space="preserve">Quotation Estimate No. QTE-AD-2025-0347 | This document is confidential and intended solely for the named recipient.</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United Arab Emirates Abu Dhabi</dc:title>
  <dc:creator/>
  <dc:language>en</dc:language>
  <cp:keywords/>
  <dcterms:created xsi:type="dcterms:W3CDTF">2026-10-10T02:00:00Z</dcterms:created>
  <dcterms:modified xsi:type="dcterms:W3CDTF">2026-10-10T02:00:00Z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