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Professional Financial Analyst Services</w:t>
      </w:r>
    </w:p>
    <w:p>
      <w:pPr>
        <w:pStyle w:val="BodyText"/>
      </w:pPr>
      <w:r>
        <w:t xml:space="preserve">United Arab Emirates — Dubai</w:t>
      </w:r>
    </w:p>
    <w:bookmarkEnd w:id="20"/>
    <w:p>
      <w:pPr>
        <w:pStyle w:val="BodyText"/>
      </w:pPr>
      <w:r>
        <w:rPr>
          <w:bCs/>
          <w:b/>
        </w:rPr>
        <w:t xml:space="preserve">Quotation No.:</w:t>
      </w:r>
      <w:r>
        <w:t xml:space="preserve"> </w:t>
      </w:r>
      <w:r>
        <w:t xml:space="preserve">QTE-DXB-2025-0487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Meridian Advisory Group LLC</w:t>
      </w:r>
      <w:r>
        <w:br/>
      </w:r>
      <w:r>
        <w:rPr>
          <w:bCs/>
          <w:b/>
        </w:rPr>
        <w:t xml:space="preserve">Location:</w:t>
      </w:r>
      <w:r>
        <w:t xml:space="preserve"> </w:t>
      </w:r>
      <w:r>
        <w:t xml:space="preserve">Dubai International Financial Centre (DIFC)</w:t>
      </w:r>
      <w:r>
        <w:br/>
      </w:r>
      <w:r>
        <w:rPr>
          <w:bCs/>
          <w:b/>
        </w:rPr>
        <w:t xml:space="preserve">Reference:</w:t>
      </w:r>
      <w:r>
        <w:t xml:space="preserve"> </w:t>
      </w:r>
      <w:r>
        <w:t xml:space="preserve">FA-UAE-DXB-2025</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[Client Company Name]</w:t>
            </w:r>
          </w:p>
        </w:tc>
      </w:tr>
      <w:tr>
        <w:tc>
          <w:tcPr/>
          <w:p>
            <w:pPr>
              <w:pStyle w:val="Compact"/>
              <w:jc w:val="left"/>
            </w:pPr>
            <w:r>
              <w:rPr>
                <w:bCs/>
                <w:b/>
              </w:rPr>
              <w:t xml:space="preserve">Address:</w:t>
            </w:r>
          </w:p>
        </w:tc>
        <w:tc>
          <w:tcPr/>
          <w:p>
            <w:pPr>
              <w:pStyle w:val="Compact"/>
              <w:jc w:val="left"/>
            </w:pPr>
            <w:r>
              <w:t xml:space="preserve">[Street Address], Dubai, United Arab Emirates</w:t>
            </w:r>
          </w:p>
        </w:tc>
      </w:tr>
      <w:tr>
        <w:tc>
          <w:tcPr/>
          <w:p>
            <w:pPr>
              <w:pStyle w:val="Compact"/>
              <w:jc w:val="left"/>
            </w:pPr>
            <w:r>
              <w:rPr>
                <w:bCs/>
                <w:b/>
              </w:rPr>
              <w:t xml:space="preserve">Contact Person:</w:t>
            </w:r>
          </w:p>
        </w:tc>
        <w:tc>
          <w:tcPr/>
          <w:p>
            <w:pPr>
              <w:pStyle w:val="Compact"/>
              <w:jc w:val="left"/>
            </w:pPr>
            <w:r>
              <w:t xml:space="preserve">[Name &amp; Title]</w:t>
            </w:r>
          </w:p>
        </w:tc>
      </w:tr>
      <w:tr>
        <w:tc>
          <w:tcPr/>
          <w:p>
            <w:pPr>
              <w:pStyle w:val="Compact"/>
              <w:jc w:val="left"/>
            </w:pPr>
            <w:r>
              <w:rPr>
                <w:bCs/>
                <w:b/>
              </w:rPr>
              <w:t xml:space="preserve">Email / Phone:</w:t>
            </w:r>
          </w:p>
        </w:tc>
        <w:tc>
          <w:tcPr/>
          <w:p>
            <w:pPr>
              <w:pStyle w:val="Compact"/>
              <w:jc w:val="left"/>
            </w:pPr>
            <w:r>
              <w:t xml:space="preserve">[Email Address] / [+971 XX XXX XXXX]</w:t>
            </w:r>
          </w:p>
        </w:tc>
      </w:tr>
      <w:tr>
        <w:tc>
          <w:tcPr/>
          <w:p>
            <w:pPr>
              <w:pStyle w:val="Compact"/>
              <w:jc w:val="left"/>
            </w:pPr>
            <w:r>
              <w:rPr>
                <w:bCs/>
                <w:b/>
              </w:rPr>
              <w:t xml:space="preserve">TRN (Tax Registration No.):</w:t>
            </w:r>
          </w:p>
        </w:tc>
        <w:tc>
          <w:tcPr/>
          <w:p>
            <w:pPr>
              <w:pStyle w:val="Compact"/>
              <w:jc w:val="left"/>
            </w:pPr>
            <w:r>
              <w:t xml:space="preserve">[TRN Number]</w:t>
            </w:r>
          </w:p>
        </w:tc>
      </w:tr>
    </w:tbl>
    <w:bookmarkEnd w:id="21"/>
    <w:bookmarkStart w:id="22" w:name="Xc71ca9f107dc19ad1a35be8656fe3f8577b2b82"/>
    <w:p>
      <w:pPr>
        <w:pStyle w:val="Heading2"/>
      </w:pPr>
      <w:r>
        <w:t xml:space="preserve">2. Scope of Services — Financial Analyst Engagement</w:t>
      </w:r>
    </w:p>
    <w:p>
      <w:pPr>
        <w:pStyle w:val="FirstParagraph"/>
      </w:pPr>
      <w:r>
        <w:t xml:space="preserve">This</w:t>
      </w:r>
      <w:r>
        <w:t xml:space="preserve"> </w:t>
      </w:r>
      <w:r>
        <w:t xml:space="preserve">Quotation Estimate</w:t>
      </w:r>
      <w:r>
        <w:t xml:space="preserve"> </w:t>
      </w:r>
      <w:r>
        <w:t xml:space="preserve">is issued by Meridian Advisory Group LLC, a licensed professional services firm operating within the</w:t>
      </w:r>
      <w:r>
        <w:t xml:space="preserve"> </w:t>
      </w:r>
      <w:r>
        <w:t xml:space="preserve">United Arab Emirates Dubai</w:t>
      </w:r>
      <w:r>
        <w:t xml:space="preserve"> </w:t>
      </w:r>
      <w:r>
        <w:t xml:space="preserve">jurisdiction, to provide a comprehensive and itemised cost breakdown for the engagement of a qualified</w:t>
      </w:r>
      <w:r>
        <w:t xml:space="preserve"> </w:t>
      </w:r>
      <w:r>
        <w:t xml:space="preserve">Financial Analyst</w:t>
      </w:r>
      <w:r>
        <w:t xml:space="preserve">. The</w:t>
      </w:r>
      <w:r>
        <w:t xml:space="preserve"> </w:t>
      </w:r>
      <w:r>
        <w:t xml:space="preserve">Financial Analyst</w:t>
      </w:r>
      <w:r>
        <w:t xml:space="preserve"> </w:t>
      </w:r>
      <w:r>
        <w:t xml:space="preserve">will be deployed to support the client's finance and accounting department in Dubai, performing duties that include but are not limited to:</w:t>
      </w:r>
    </w:p>
    <w:p>
      <w:pPr>
        <w:numPr>
          <w:ilvl w:val="0"/>
          <w:numId w:val="1001"/>
        </w:numPr>
        <w:pStyle w:val="Compact"/>
      </w:pPr>
      <w:r>
        <w:t xml:space="preserve">Preparation and maintenance of monthly, quarterly, and annual financial reports in compliance with UAE Corporate Tax Law (Federal Decree-Law No. 47 of 2022) and IFRS standards.</w:t>
      </w:r>
    </w:p>
    <w:p>
      <w:pPr>
        <w:numPr>
          <w:ilvl w:val="0"/>
          <w:numId w:val="1001"/>
        </w:numPr>
        <w:pStyle w:val="Compact"/>
      </w:pPr>
      <w:r>
        <w:t xml:space="preserve">Development and monitoring of detailed financial models, budgeting frameworks, and variance analysis for operational and strategic planning.</w:t>
      </w:r>
    </w:p>
    <w:p>
      <w:pPr>
        <w:numPr>
          <w:ilvl w:val="0"/>
          <w:numId w:val="1001"/>
        </w:numPr>
        <w:pStyle w:val="Compact"/>
      </w:pPr>
      <w:r>
        <w:t xml:space="preserve">Conducting cash flow forecasting, liquidity analysis, and working capital optimisation tailored to the Dubai market environment.</w:t>
      </w:r>
    </w:p>
    <w:p>
      <w:pPr>
        <w:numPr>
          <w:ilvl w:val="0"/>
          <w:numId w:val="1001"/>
        </w:numPr>
        <w:pStyle w:val="Compact"/>
      </w:pPr>
      <w:r>
        <w:t xml:space="preserve">Performing cost-benefit analyses, investment appraisals, and return-on-investment (ROI) assessments for capital expenditure projects.</w:t>
      </w:r>
    </w:p>
    <w:p>
      <w:pPr>
        <w:numPr>
          <w:ilvl w:val="0"/>
          <w:numId w:val="1001"/>
        </w:numPr>
        <w:pStyle w:val="Compact"/>
      </w:pPr>
      <w:r>
        <w:t xml:space="preserve">Preparing board-level presentations, management dashboards, and KPI reports for senior leadership and stakeholders.</w:t>
      </w:r>
    </w:p>
    <w:p>
      <w:pPr>
        <w:numPr>
          <w:ilvl w:val="0"/>
          <w:numId w:val="1001"/>
        </w:numPr>
        <w:pStyle w:val="Compact"/>
      </w:pPr>
      <w:r>
        <w:t xml:space="preserve">Assisting with audit preparation, tax filing coordination, and regulatory reporting as required by the Dubai Financial Services Authority (DFSA) or the Securities and Commodities Authority (SCA).</w:t>
      </w:r>
    </w:p>
    <w:p>
      <w:pPr>
        <w:numPr>
          <w:ilvl w:val="0"/>
          <w:numId w:val="1001"/>
        </w:numPr>
        <w:pStyle w:val="Compact"/>
      </w:pPr>
      <w:r>
        <w:t xml:space="preserve">Providing ad-hoc analytical support for mergers, acquisitions, and due diligence activities within the</w:t>
      </w:r>
      <w:r>
        <w:t xml:space="preserve"> </w:t>
      </w:r>
      <w:r>
        <w:t xml:space="preserve">United Arab Emirates Dubai</w:t>
      </w:r>
      <w:r>
        <w:t xml:space="preserve"> </w:t>
      </w:r>
      <w:r>
        <w:t xml:space="preserve">business landscape.</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(AED)</w:t>
            </w:r>
          </w:p>
        </w:tc>
        <w:tc>
          <w:tcPr/>
          <w:p>
            <w:pPr>
              <w:pStyle w:val="Compact"/>
              <w:jc w:val="left"/>
            </w:pPr>
            <w:r>
              <w:t xml:space="preserve">Amount (AED)</w:t>
            </w:r>
          </w:p>
        </w:tc>
      </w:tr>
      <w:tr>
        <w:tc>
          <w:tcPr/>
          <w:p>
            <w:pPr>
              <w:pStyle w:val="Compact"/>
              <w:jc w:val="left"/>
            </w:pPr>
            <w:r>
              <w:t xml:space="preserve">01</w:t>
            </w:r>
          </w:p>
        </w:tc>
        <w:tc>
          <w:tcPr/>
          <w:p>
            <w:pPr>
              <w:pStyle w:val="Compact"/>
              <w:jc w:val="left"/>
            </w:pPr>
            <w:r>
              <w:t xml:space="preserve">Senior Financial Analyst — Monthly Professional Fee (includes all analytical deliverables, reporting, and advisory support)</w:t>
            </w:r>
          </w:p>
        </w:tc>
        <w:tc>
          <w:tcPr/>
          <w:p>
            <w:pPr>
              <w:pStyle w:val="Compact"/>
              <w:jc w:val="left"/>
            </w:pPr>
            <w:r>
              <w:t xml:space="preserve">12 months</w:t>
            </w:r>
          </w:p>
        </w:tc>
        <w:tc>
          <w:tcPr/>
          <w:p>
            <w:pPr>
              <w:pStyle w:val="Compact"/>
              <w:jc w:val="left"/>
            </w:pPr>
            <w:r>
              <w:t xml:space="preserve">28,500</w:t>
            </w:r>
          </w:p>
        </w:tc>
        <w:tc>
          <w:tcPr/>
          <w:p>
            <w:pPr>
              <w:pStyle w:val="Compact"/>
              <w:jc w:val="left"/>
            </w:pPr>
            <w:r>
              <w:t xml:space="preserve">342,000.00</w:t>
            </w:r>
          </w:p>
        </w:tc>
      </w:tr>
      <w:tr>
        <w:tc>
          <w:tcPr/>
          <w:p>
            <w:pPr>
              <w:pStyle w:val="Compact"/>
              <w:jc w:val="left"/>
            </w:pPr>
            <w:r>
              <w:t xml:space="preserve">02</w:t>
            </w:r>
          </w:p>
        </w:tc>
        <w:tc>
          <w:tcPr/>
          <w:p>
            <w:pPr>
              <w:pStyle w:val="Compact"/>
              <w:jc w:val="left"/>
            </w:pPr>
            <w:r>
              <w:t xml:space="preserve">Financial Modelling &amp; Budgeting Framework Setup (one-time project)</w:t>
            </w:r>
          </w:p>
        </w:tc>
        <w:tc>
          <w:tcPr/>
          <w:p>
            <w:pPr>
              <w:pStyle w:val="Compact"/>
              <w:jc w:val="left"/>
            </w:pPr>
            <w:r>
              <w:t xml:space="preserve">One-time</w:t>
            </w:r>
          </w:p>
        </w:tc>
        <w:tc>
          <w:tcPr/>
          <w:p>
            <w:pPr>
              <w:pStyle w:val="Compact"/>
              <w:jc w:val="left"/>
            </w:pPr>
            <w:r>
              <w:t xml:space="preserve">15,000</w:t>
            </w:r>
          </w:p>
        </w:tc>
        <w:tc>
          <w:tcPr/>
          <w:p>
            <w:pPr>
              <w:pStyle w:val="Compact"/>
              <w:jc w:val="left"/>
            </w:pPr>
            <w:r>
              <w:t xml:space="preserve">15,000.00</w:t>
            </w:r>
          </w:p>
        </w:tc>
      </w:tr>
      <w:tr>
        <w:tc>
          <w:tcPr/>
          <w:p>
            <w:pPr>
              <w:pStyle w:val="Compact"/>
              <w:jc w:val="left"/>
            </w:pPr>
            <w:r>
              <w:t xml:space="preserve">03</w:t>
            </w:r>
          </w:p>
        </w:tc>
        <w:tc>
          <w:tcPr/>
          <w:p>
            <w:pPr>
              <w:pStyle w:val="Compact"/>
              <w:jc w:val="left"/>
            </w:pPr>
            <w:r>
              <w:t xml:space="preserve">UAE Corporate Tax Compliance &amp; IFRS Reporting Support</w:t>
            </w:r>
          </w:p>
        </w:tc>
        <w:tc>
          <w:tcPr/>
          <w:p>
            <w:pPr>
              <w:pStyle w:val="Compact"/>
              <w:jc w:val="left"/>
            </w:pPr>
            <w:r>
              <w:t xml:space="preserve">12 months</w:t>
            </w:r>
          </w:p>
        </w:tc>
        <w:tc>
          <w:tcPr/>
          <w:p>
            <w:pPr>
              <w:pStyle w:val="Compact"/>
              <w:jc w:val="left"/>
            </w:pPr>
            <w:r>
              <w:t xml:space="preserve">6,500</w:t>
            </w:r>
          </w:p>
        </w:tc>
        <w:tc>
          <w:tcPr/>
          <w:p>
            <w:pPr>
              <w:pStyle w:val="Compact"/>
              <w:jc w:val="left"/>
            </w:pPr>
            <w:r>
              <w:t xml:space="preserve">78,000.00</w:t>
            </w:r>
          </w:p>
        </w:tc>
      </w:tr>
      <w:tr>
        <w:tc>
          <w:tcPr/>
          <w:p>
            <w:pPr>
              <w:pStyle w:val="Compact"/>
              <w:jc w:val="left"/>
            </w:pPr>
            <w:r>
              <w:t xml:space="preserve">04</w:t>
            </w:r>
          </w:p>
        </w:tc>
        <w:tc>
          <w:tcPr/>
          <w:p>
            <w:pPr>
              <w:pStyle w:val="Compact"/>
              <w:jc w:val="left"/>
            </w:pPr>
            <w:r>
              <w:t xml:space="preserve">Board &amp; Management Reporting (quarterly presentations and KPI dashboards)</w:t>
            </w:r>
          </w:p>
        </w:tc>
        <w:tc>
          <w:tcPr/>
          <w:p>
            <w:pPr>
              <w:pStyle w:val="Compact"/>
              <w:jc w:val="left"/>
            </w:pPr>
            <w:r>
              <w:t xml:space="preserve">4 quarters</w:t>
            </w:r>
          </w:p>
        </w:tc>
        <w:tc>
          <w:tcPr/>
          <w:p>
            <w:pPr>
              <w:pStyle w:val="Compact"/>
              <w:jc w:val="left"/>
            </w:pPr>
            <w:r>
              <w:t xml:space="preserve">4,200</w:t>
            </w:r>
          </w:p>
        </w:tc>
        <w:tc>
          <w:tcPr/>
          <w:p>
            <w:pPr>
              <w:pStyle w:val="Compact"/>
              <w:jc w:val="left"/>
            </w:pPr>
            <w:r>
              <w:t xml:space="preserve">16,800.00</w:t>
            </w:r>
          </w:p>
        </w:tc>
      </w:tr>
      <w:tr>
        <w:tc>
          <w:tcPr/>
          <w:p>
            <w:pPr>
              <w:pStyle w:val="Compact"/>
              <w:jc w:val="left"/>
            </w:pPr>
            <w:r>
              <w:t xml:space="preserve">05</w:t>
            </w:r>
          </w:p>
        </w:tc>
        <w:tc>
          <w:tcPr/>
          <w:p>
            <w:pPr>
              <w:pStyle w:val="Compact"/>
              <w:jc w:val="left"/>
            </w:pPr>
            <w:r>
              <w:t xml:space="preserve">Ad-hoc Analytical Support &amp; Due Diligence Assistance (up to 40 hours per annum)</w:t>
            </w:r>
          </w:p>
        </w:tc>
        <w:tc>
          <w:tcPr/>
          <w:p>
            <w:pPr>
              <w:pStyle w:val="Compact"/>
              <w:jc w:val="left"/>
            </w:pPr>
            <w:r>
              <w:t xml:space="preserve">12 months</w:t>
            </w:r>
          </w:p>
        </w:tc>
        <w:tc>
          <w:tcPr/>
          <w:p>
            <w:pPr>
              <w:pStyle w:val="Compact"/>
              <w:jc w:val="left"/>
            </w:pPr>
            <w:r>
              <w:t xml:space="preserve">450/hr</w:t>
            </w:r>
          </w:p>
        </w:tc>
        <w:tc>
          <w:tcPr/>
          <w:p>
            <w:pPr>
              <w:pStyle w:val="Compact"/>
              <w:jc w:val="left"/>
            </w:pPr>
            <w:r>
              <w:t xml:space="preserve">18,000.00</w:t>
            </w:r>
          </w:p>
        </w:tc>
      </w:tr>
      <w:tr>
        <w:tc>
          <w:tcPr/>
          <w:p>
            <w:pPr>
              <w:pStyle w:val="Compact"/>
              <w:jc w:val="left"/>
            </w:pPr>
            <w:r>
              <w:t xml:space="preserve">06</w:t>
            </w:r>
          </w:p>
        </w:tc>
        <w:tc>
          <w:tcPr/>
          <w:p>
            <w:pPr>
              <w:pStyle w:val="Compact"/>
              <w:jc w:val="left"/>
            </w:pPr>
            <w:r>
              <w:t xml:space="preserve">Onboarding, Knowledge Transfer &amp; System Integration (one-time)</w:t>
            </w:r>
          </w:p>
        </w:tc>
        <w:tc>
          <w:tcPr/>
          <w:p>
            <w:pPr>
              <w:pStyle w:val="Compact"/>
              <w:jc w:val="left"/>
            </w:pPr>
            <w:r>
              <w:t xml:space="preserve">One-time</w:t>
            </w:r>
          </w:p>
        </w:tc>
        <w:tc>
          <w:tcPr/>
          <w:p>
            <w:pPr>
              <w:pStyle w:val="Compact"/>
              <w:jc w:val="left"/>
            </w:pPr>
            <w:r>
              <w:t xml:space="preserve">8,500</w:t>
            </w:r>
          </w:p>
        </w:tc>
        <w:tc>
          <w:tcPr/>
          <w:p>
            <w:pPr>
              <w:pStyle w:val="Compact"/>
              <w:jc w:val="left"/>
            </w:pPr>
            <w:r>
              <w:t xml:space="preserve">8,500.00</w:t>
            </w:r>
          </w:p>
        </w:tc>
      </w:tr>
      <w:tr>
        <w:tc>
          <w:tcPr>
            <w:gridSpan w:val="4"/>
          </w:tcPr>
          <w:p>
            <w:pPr>
              <w:pStyle w:val="Compact"/>
              <w:jc w:val="left"/>
            </w:pPr>
            <w:r>
              <w:t xml:space="preserve">Subtotal (AED)</w:t>
            </w:r>
          </w:p>
        </w:tc>
        <w:tc>
          <w:tcPr/>
          <w:p>
            <w:pPr>
              <w:pStyle w:val="Compact"/>
              <w:jc w:val="left"/>
            </w:pPr>
            <w:r>
              <w:t xml:space="preserve">478,300.00</w:t>
            </w:r>
          </w:p>
        </w:tc>
      </w:tr>
      <w:tr>
        <w:tc>
          <w:tcPr>
            <w:gridSpan w:val="4"/>
          </w:tcPr>
          <w:p>
            <w:pPr>
              <w:pStyle w:val="Compact"/>
              <w:jc w:val="left"/>
            </w:pPr>
            <w:r>
              <w:t xml:space="preserve">VAT @ 5% (United Arab Emirates)</w:t>
            </w:r>
          </w:p>
        </w:tc>
        <w:tc>
          <w:tcPr/>
          <w:p>
            <w:pPr>
              <w:pStyle w:val="Compact"/>
              <w:jc w:val="left"/>
            </w:pPr>
            <w:r>
              <w:t xml:space="preserve">23,915.00</w:t>
            </w:r>
          </w:p>
        </w:tc>
      </w:tr>
      <w:tr>
        <w:tc>
          <w:tcPr>
            <w:gridSpan w:val="4"/>
          </w:tcPr>
          <w:p>
            <w:pPr>
              <w:pStyle w:val="Compact"/>
              <w:jc w:val="left"/>
            </w:pPr>
            <w:r>
              <w:rPr>
                <w:bCs/>
                <w:b/>
              </w:rPr>
              <w:t xml:space="preserve">Grand Total (AED)</w:t>
            </w:r>
          </w:p>
        </w:tc>
        <w:tc>
          <w:tcPr/>
          <w:p>
            <w:pPr>
              <w:pStyle w:val="Compact"/>
              <w:jc w:val="left"/>
            </w:pPr>
            <w:r>
              <w:rPr>
                <w:bCs/>
                <w:b/>
              </w:rPr>
              <w:t xml:space="preserve">502,215.00</w:t>
            </w:r>
          </w:p>
        </w:tc>
      </w:tr>
    </w:tbl>
    <w:bookmarkEnd w:id="23"/>
    <w:bookmarkStart w:id="24" w:name="payment-terms"/>
    <w:p>
      <w:pPr>
        <w:pStyle w:val="Heading2"/>
      </w:pPr>
      <w:r>
        <w:t xml:space="preserve">4. Payment Terms</w:t>
      </w:r>
    </w:p>
    <w:p>
      <w:pPr>
        <w:pStyle w:val="FirstParagraph"/>
      </w:pPr>
      <w:r>
        <w:t xml:space="preserve">Payment for the services outlined in this</w:t>
      </w:r>
      <w:r>
        <w:t xml:space="preserve"> </w:t>
      </w:r>
      <w:r>
        <w:t xml:space="preserve">Quotation Estimate</w:t>
      </w:r>
      <w:r>
        <w:t xml:space="preserve"> </w:t>
      </w:r>
      <w:r>
        <w:t xml:space="preserve">shall be made in United Arab Emirates Dirhams (AED) via bank transfer to the designated account of Meridian Advisory Group LLC, Dubai. The payment schedule is structured as follows:</w:t>
      </w:r>
    </w:p>
    <w:p>
      <w:pPr>
        <w:numPr>
          <w:ilvl w:val="0"/>
          <w:numId w:val="1002"/>
        </w:numPr>
        <w:pStyle w:val="Compact"/>
      </w:pPr>
      <w:r>
        <w:rPr>
          <w:bCs/>
          <w:b/>
        </w:rPr>
        <w:t xml:space="preserve">25% Advance Payment:</w:t>
      </w:r>
      <w:r>
        <w:t xml:space="preserve"> </w:t>
      </w:r>
      <w:r>
        <w:t xml:space="preserve">Due upon signed acceptance of this Quotation Estimate and commencement of the Financial Analyst engagement.</w:t>
      </w:r>
    </w:p>
    <w:p>
      <w:pPr>
        <w:numPr>
          <w:ilvl w:val="0"/>
          <w:numId w:val="1002"/>
        </w:numPr>
        <w:pStyle w:val="Compact"/>
      </w:pPr>
      <w:r>
        <w:rPr>
          <w:bCs/>
          <w:b/>
        </w:rPr>
        <w:t xml:space="preserve">Monthly Invoicing:</w:t>
      </w:r>
      <w:r>
        <w:t xml:space="preserve"> </w:t>
      </w:r>
      <w:r>
        <w:t xml:space="preserve">The recurring Financial Analyst professional fee (Item 01) and tax compliance fee (Item 03) shall be invoiced on the 1st of each calendar month, payable within 14 calendar days of invoice date.</w:t>
      </w:r>
    </w:p>
    <w:p>
      <w:pPr>
        <w:numPr>
          <w:ilvl w:val="0"/>
          <w:numId w:val="1002"/>
        </w:numPr>
        <w:pStyle w:val="Compact"/>
      </w:pPr>
      <w:r>
        <w:rPr>
          <w:bCs/>
          <w:b/>
        </w:rPr>
        <w:t xml:space="preserve">One-Time Project Fees:</w:t>
      </w:r>
      <w:r>
        <w:t xml:space="preserve"> </w:t>
      </w:r>
      <w:r>
        <w:t xml:space="preserve">Items 02 and 06 are payable 50% upon project initiation and 50% upon successful delivery and client sign-off.</w:t>
      </w:r>
    </w:p>
    <w:p>
      <w:pPr>
        <w:numPr>
          <w:ilvl w:val="0"/>
          <w:numId w:val="1002"/>
        </w:numPr>
        <w:pStyle w:val="Compact"/>
      </w:pPr>
      <w:r>
        <w:rPr>
          <w:bCs/>
          <w:b/>
        </w:rPr>
        <w:t xml:space="preserve">Ad-hoc Services:</w:t>
      </w:r>
      <w:r>
        <w:t xml:space="preserve"> </w:t>
      </w:r>
      <w:r>
        <w:t xml:space="preserve">Item 05 shall be invoiced quarterly in arrears based on actual hours logged and approved by the client.</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a period of thirty (30) calendar days from the date of issue. Beyond this period, rates may be subject to revision based on market conditions in the United Arab Emirates Dubai professional services sector.</w:t>
      </w:r>
    </w:p>
    <w:p>
      <w:pPr>
        <w:numPr>
          <w:ilvl w:val="0"/>
          <w:numId w:val="1003"/>
        </w:numPr>
        <w:pStyle w:val="Compact"/>
      </w:pPr>
      <w:r>
        <w:t xml:space="preserve">The Financial Analyst assigned to this engagement shall be a qualified professional holding a minimum of a Bachelor's degree in Finance, Accounting, or a related discipline, with a minimum of five (5) years of relevant experience in the UAE or equivalent international markets. Professional certifications such as CFA, ACCA, or CPA are preferred.</w:t>
      </w:r>
    </w:p>
    <w:p>
      <w:pPr>
        <w:numPr>
          <w:ilvl w:val="0"/>
          <w:numId w:val="1003"/>
        </w:numPr>
        <w:pStyle w:val="Compact"/>
      </w:pPr>
      <w:r>
        <w:t xml:space="preserve">All work performed by the Financial Analyst shall be conducted in strict compliance with the UAE Commercial Transactions Law, the Dubai Financial Services Authority regulations (where applicable), and all relevant data protection and confidentiality obligations under UAE Federal Decree-Law No. 45 of 2021 on Personal Data Protection.</w:t>
      </w:r>
    </w:p>
    <w:p>
      <w:pPr>
        <w:numPr>
          <w:ilvl w:val="0"/>
          <w:numId w:val="1003"/>
        </w:numPr>
        <w:pStyle w:val="Compact"/>
      </w:pPr>
      <w:r>
        <w:t xml:space="preserve">Meridian Advisory Group LLC shall not be liable for any indirect, consequential, or punitive damages arising from the use of the Financial Analyst's analytical outputs. The client acknowledges that all financial analyses, forecasts, and projections are estimates based on available data and assumptions.</w:t>
      </w:r>
    </w:p>
    <w:p>
      <w:pPr>
        <w:numPr>
          <w:ilvl w:val="0"/>
          <w:numId w:val="1003"/>
        </w:numPr>
        <w:pStyle w:val="Compact"/>
      </w:pPr>
      <w:r>
        <w:t xml:space="preserve">Either party may terminate this engagement with a written notice of thirty (30) days. In the event of early termination, all fees for services rendered up to the termination date shall remain payable.</w:t>
      </w:r>
    </w:p>
    <w:p>
      <w:pPr>
        <w:numPr>
          <w:ilvl w:val="0"/>
          <w:numId w:val="1003"/>
        </w:numPr>
        <w:pStyle w:val="Compact"/>
      </w:pPr>
      <w:r>
        <w:t xml:space="preserve">This Quotation Estimate is governed by and shall be interpreted in accordance with the laws of the United Arab Emirates, and any disputes shall be subject to the exclusive jurisdiction of the Dubai Courts or, at the client's election, the Dubai International Financial Centre (DIFC) Courts.</w:t>
      </w:r>
    </w:p>
    <w:p>
      <w:pPr>
        <w:numPr>
          <w:ilvl w:val="0"/>
          <w:numId w:val="1003"/>
        </w:numPr>
        <w:pStyle w:val="Compact"/>
      </w:pPr>
      <w:r>
        <w:t xml:space="preserve">All intellectual property, reports, models, and deliverables produced by the Financial Analyst specifically for the client under this engagement shall become the sole property of the client upon full payment of the corresponding fees.</w:t>
      </w:r>
    </w:p>
    <w:bookmarkEnd w:id="25"/>
    <w:bookmarkStart w:id="28" w:name="acceptance-and-authorisation"/>
    <w:p>
      <w:pPr>
        <w:pStyle w:val="Heading2"/>
      </w:pPr>
      <w:r>
        <w:t xml:space="preserve">6. Acceptance and Authorisation</w:t>
      </w:r>
    </w:p>
    <w:p>
      <w:pPr>
        <w:pStyle w:val="FirstParagraph"/>
      </w:pPr>
      <w:r>
        <w:t xml:space="preserve">By signing below, the client acknowledges and accepts all terms, conditions, rates, and scope of services as detailed in this Quotation Estimate for the engagement of a Financial Analyst in the United Arab Emirates Dubai. This signed document shall constitute a binding service agreement between the parties.</w:t>
      </w:r>
    </w:p>
    <w:bookmarkStart w:id="26" w:name="Xd03a98420e8b9466ae3debbc6411e57e7dfb92e"/>
    <w:p>
      <w:pPr>
        <w:pStyle w:val="Heading3"/>
      </w:pPr>
      <w:r>
        <w:t xml:space="preserve">For: Meridian Advisory Group LLC (Service Provider)</w:t>
      </w:r>
    </w:p>
    <w:p>
      <w:pPr>
        <w:pStyle w:val="FirstParagraph"/>
      </w:pPr>
      <w:r>
        <w:t xml:space="preserve">Name: ___________________________</w:t>
      </w:r>
      <w:r>
        <w:br/>
      </w:r>
      <w:r>
        <w:t xml:space="preserve">Title: Managing Director</w:t>
      </w:r>
      <w:r>
        <w:br/>
      </w:r>
      <w:r>
        <w:t xml:space="preserve">Signature: ___________________________</w:t>
      </w:r>
      <w:r>
        <w:br/>
      </w:r>
      <w:r>
        <w:t xml:space="preserve">Date: ___________________________</w:t>
      </w:r>
      <w:r>
        <w:br/>
      </w:r>
      <w:r>
        <w:t xml:space="preserve">Company Stamp:</w:t>
      </w:r>
    </w:p>
    <w:p>
      <w:pPr>
        <w:pStyle w:val="BodyText"/>
      </w:pPr>
      <w:r>
        <w:t xml:space="preserve">Authorised Signatory</w:t>
      </w:r>
    </w:p>
    <w:bookmarkEnd w:id="26"/>
    <w:bookmarkStart w:id="27" w:name="for-client-company-name-client"/>
    <w:p>
      <w:pPr>
        <w:pStyle w:val="Heading3"/>
      </w:pPr>
      <w:r>
        <w:t xml:space="preserve">For: [Client Company Name] (Client)</w:t>
      </w:r>
    </w:p>
    <w:p>
      <w:pPr>
        <w:pStyle w:val="FirstParagraph"/>
      </w:pPr>
      <w:r>
        <w:t xml:space="preserve">Name: ___________________________</w:t>
      </w:r>
      <w:r>
        <w:br/>
      </w:r>
      <w:r>
        <w:t xml:space="preserve">Title: ___________________________</w:t>
      </w:r>
      <w:r>
        <w:br/>
      </w:r>
      <w:r>
        <w:t xml:space="preserve">Signature: ___________________________</w:t>
      </w:r>
      <w:r>
        <w:br/>
      </w:r>
      <w:r>
        <w:t xml:space="preserve">Date: ___________________________</w:t>
      </w:r>
      <w:r>
        <w:br/>
      </w:r>
      <w:r>
        <w:t xml:space="preserve">Company Stamp:</w:t>
      </w:r>
    </w:p>
    <w:p>
      <w:pPr>
        <w:pStyle w:val="BodyText"/>
      </w:pPr>
      <w:r>
        <w:t xml:space="preserve">Authorised Signatory</w:t>
      </w:r>
    </w:p>
    <w:bookmarkEnd w:id="27"/>
    <w:p>
      <w:pPr>
        <w:pStyle w:val="BodyText"/>
      </w:pPr>
      <w:r>
        <w:rPr>
          <w:bCs/>
          <w:b/>
        </w:rPr>
        <w:t xml:space="preserve">Meridian Advisory Group LLC</w:t>
      </w:r>
      <w:r>
        <w:t xml:space="preserve"> </w:t>
      </w:r>
      <w:r>
        <w:t xml:space="preserve">— Dubai International Financial Centre, Gate Avenue, Level 12, Dubai, United Arab Emirates</w:t>
      </w:r>
      <w:r>
        <w:br/>
      </w:r>
      <w:r>
        <w:t xml:space="preserve">Tel: +971 4 XXX XXXX  |  Email: quotations@meridianadvisory.ae  |  TRN: 100XXXXXXX</w:t>
      </w:r>
      <w:r>
        <w:br/>
      </w:r>
      <w:r>
        <w:t xml:space="preserve">This Quotation Estimate is a confidential document intended solely for the named client. Unauthorised reproduction or distribution is prohibited.</w:t>
      </w:r>
      <w:r>
        <w:br/>
      </w:r>
      <w:r>
        <w:t xml:space="preserve">© 2025 Meridian Advisory Group LLC.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Financial Analyst - United Arab Emirates Dubai</dc:title>
  <dc:creator/>
  <dc:language>en</dc:language>
  <cp:keywords/>
  <dcterms:created xsi:type="dcterms:W3CDTF">2026-10-10T04:25:37Z</dcterms:created>
  <dcterms:modified xsi:type="dcterms:W3CDTF">2026-10-10T04:25:37Z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