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Lakeview Business Consulting Group, LLC</w:t>
      </w:r>
    </w:p>
    <w:p>
      <w:pPr>
        <w:pStyle w:val="BodyText"/>
      </w:pPr>
      <w:r>
        <w:t xml:space="preserve">150 N. Michigan Avenue, Suite 2200, Chicago, Illinois 60601, United States</w:t>
      </w:r>
    </w:p>
    <w:p>
      <w:pPr>
        <w:pStyle w:val="BodyText"/>
      </w:pPr>
      <w:r>
        <w:t xml:space="preserve">Tel: (312) 555-0147 | Email: quotes@lakeviewconsulting.com</w:t>
      </w:r>
    </w:p>
    <w:bookmarkEnd w:id="20"/>
    <w:p>
      <w:pPr>
        <w:pStyle w:val="BodyText"/>
      </w:pPr>
      <w:r>
        <w:rPr>
          <w:bCs/>
          <w:b/>
        </w:rPr>
        <w:t xml:space="preserve">Quotation No.:</w:t>
      </w:r>
      <w:r>
        <w:t xml:space="preserve"> </w:t>
      </w:r>
      <w:r>
        <w:t xml:space="preserve">QTE-2025-CHIC-0487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Meridian Capital Partners, Inc.</w:t>
      </w:r>
      <w:r>
        <w:br/>
      </w:r>
      <w:r>
        <w:t xml:space="preserve">233 S. Wacker Drive, Floor 45</w:t>
      </w:r>
      <w:r>
        <w:br/>
      </w:r>
      <w:r>
        <w:t xml:space="preserve">Chicago, Illinois 60606, United States</w:t>
      </w:r>
    </w:p>
    <w:p>
      <w:pPr>
        <w:pStyle w:val="BodyText"/>
      </w:pPr>
      <w:r>
        <w:rPr>
          <w:bCs/>
          <w:b/>
        </w:rPr>
        <w:t xml:space="preserve">Prepared By:</w:t>
      </w:r>
      <w:r>
        <w:br/>
      </w:r>
      <w:r>
        <w:t xml:space="preserve">Daniel R. Whitfield</w:t>
      </w:r>
      <w:r>
        <w:br/>
      </w:r>
      <w:r>
        <w:t xml:space="preserve">Senior Engagement Manager</w:t>
      </w:r>
      <w:r>
        <w:br/>
      </w:r>
      <w:r>
        <w:t xml:space="preserve">Lakeview Business Consulting Group</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Lakeview Business Consulting Group, LLC to Meridian Capital Partners, Inc. to provide a comprehensive and itemized cost projection for the engagement of a dedicated</w:t>
      </w:r>
      <w:r>
        <w:t xml:space="preserve"> </w:t>
      </w:r>
      <w:r>
        <w:t xml:space="preserve">Financial Analyst</w:t>
      </w:r>
      <w:r>
        <w:t xml:space="preserve"> </w:t>
      </w:r>
      <w:r>
        <w:t xml:space="preserve">professional. This Quotation Estimate covers all anticipated labor costs, specialized software licensing, travel expenses within the</w:t>
      </w:r>
      <w:r>
        <w:t xml:space="preserve"> </w:t>
      </w:r>
      <w:r>
        <w:t xml:space="preserve">United States Chicago</w:t>
      </w:r>
      <w:r>
        <w:t xml:space="preserve"> </w:t>
      </w:r>
      <w:r>
        <w:t xml:space="preserve">metropolitan area, and ancillary professional services required to deliver a full-cycle financial analysis engagement. The Financial Analyst engagement is specifically tailored to the regulatory, market, and operational environment of the United States Chicago financial district, ensuring full compliance with SEC reporting standards, CFA Institute ethical guidelines, and Illinois state financial regulations.</w:t>
      </w:r>
    </w:p>
    <w:bookmarkEnd w:id="21"/>
    <w:bookmarkStart w:id="22" w:name="X1397b4b504fbe96b8eb7959e01da01d48283004"/>
    <w:p>
      <w:pPr>
        <w:pStyle w:val="Heading2"/>
      </w:pPr>
      <w:r>
        <w:t xml:space="preserve">2. Description of Financial Analyst Services</w:t>
      </w:r>
    </w:p>
    <w:p>
      <w:pPr>
        <w:pStyle w:val="FirstParagraph"/>
      </w:pPr>
      <w:r>
        <w:t xml:space="preserve">The</w:t>
      </w:r>
      <w:r>
        <w:t xml:space="preserve"> </w:t>
      </w:r>
      <w:r>
        <w:t xml:space="preserve">Financial Analyst</w:t>
      </w:r>
      <w:r>
        <w:t xml:space="preserve"> </w:t>
      </w:r>
      <w:r>
        <w:t xml:space="preserve">engaged under this Quotation Estimate will perform the following core duties within the United States Chicago market:</w:t>
      </w:r>
    </w:p>
    <w:p>
      <w:pPr>
        <w:numPr>
          <w:ilvl w:val="0"/>
          <w:numId w:val="1001"/>
        </w:numPr>
        <w:pStyle w:val="Compact"/>
      </w:pPr>
      <w:r>
        <w:t xml:space="preserve">Preparation of quarterly and annual financial models, including discounted cash flow (DCF) analyses, sensitivity testing, and scenario planning aligned with Chicago-based portfolio holdings.</w:t>
      </w:r>
    </w:p>
    <w:p>
      <w:pPr>
        <w:numPr>
          <w:ilvl w:val="0"/>
          <w:numId w:val="1001"/>
        </w:numPr>
        <w:pStyle w:val="Compact"/>
      </w:pPr>
      <w:r>
        <w:t xml:space="preserve">Conducting in-depth valuation of publicly traded and private equity securities listed on the Chicago Board Options Exchange (CBOE) and the Chicago Mercantile Exchange (CME).</w:t>
      </w:r>
    </w:p>
    <w:p>
      <w:pPr>
        <w:numPr>
          <w:ilvl w:val="0"/>
          <w:numId w:val="1001"/>
        </w:numPr>
        <w:pStyle w:val="Compact"/>
      </w:pPr>
      <w:r>
        <w:t xml:space="preserve">Generating comprehensive investment memos, earnings call summaries, and sector-specific research reports for the United States Chicago commercial real estate, energy, and industrial manufacturing sectors.</w:t>
      </w:r>
    </w:p>
    <w:p>
      <w:pPr>
        <w:numPr>
          <w:ilvl w:val="0"/>
          <w:numId w:val="1001"/>
        </w:numPr>
        <w:pStyle w:val="Compact"/>
      </w:pPr>
      <w:r>
        <w:t xml:space="preserve">Monitoring and reporting on macroeconomic indicators relevant to the Midwest United States economy, including Federal Reserve Bank of Chicago National Activity Index (Chicago Fed National Activity Index) data.</w:t>
      </w:r>
    </w:p>
    <w:p>
      <w:pPr>
        <w:numPr>
          <w:ilvl w:val="0"/>
          <w:numId w:val="1001"/>
        </w:numPr>
        <w:pStyle w:val="Compact"/>
      </w:pPr>
      <w:r>
        <w:t xml:space="preserve">Performing risk assessment, portfolio attribution analysis, and stress testing in accordance with the Financial Analyst engagement scope defined by the client.</w:t>
      </w:r>
    </w:p>
    <w:p>
      <w:pPr>
        <w:numPr>
          <w:ilvl w:val="0"/>
          <w:numId w:val="1001"/>
        </w:numPr>
        <w:pStyle w:val="Compact"/>
      </w:pPr>
      <w:r>
        <w:t xml:space="preserve">Providing ad-hoc financial modeling support for mergers, acquisitions, and capital structure optimization relevant to United States Chicago-based corporate clients.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Financial Analyst – Full-Time Engagement (40 hrs/week)</w:t>
            </w:r>
          </w:p>
        </w:tc>
        <w:tc>
          <w:tcPr/>
          <w:p>
            <w:pPr>
              <w:pStyle w:val="Compact"/>
              <w:jc w:val="left"/>
            </w:pPr>
            <w:r>
              <w:t xml:space="preserve">6 months</w:t>
            </w:r>
          </w:p>
        </w:tc>
        <w:tc>
          <w:tcPr/>
          <w:p>
            <w:pPr>
              <w:pStyle w:val="Compact"/>
              <w:jc w:val="left"/>
            </w:pPr>
            <w:r>
              <w:t xml:space="preserve">$145,000 / mo</w:t>
            </w:r>
          </w:p>
        </w:tc>
        <w:tc>
          <w:tcPr/>
          <w:p>
            <w:pPr>
              <w:pStyle w:val="Compact"/>
              <w:jc w:val="left"/>
            </w:pPr>
            <w:r>
              <w:t xml:space="preserve">$870,000.00</w:t>
            </w:r>
          </w:p>
        </w:tc>
      </w:tr>
      <w:tr>
        <w:tc>
          <w:tcPr/>
          <w:p>
            <w:pPr>
              <w:pStyle w:val="Compact"/>
              <w:jc w:val="left"/>
            </w:pPr>
            <w:r>
              <w:t xml:space="preserve">02</w:t>
            </w:r>
          </w:p>
        </w:tc>
        <w:tc>
          <w:tcPr/>
          <w:p>
            <w:pPr>
              <w:pStyle w:val="Compact"/>
              <w:jc w:val="left"/>
            </w:pPr>
            <w:r>
              <w:t xml:space="preserve">Financial Modeling Software Licenses (Bloomberg Terminal, FactSet, Capital IQ)</w:t>
            </w:r>
          </w:p>
        </w:tc>
        <w:tc>
          <w:tcPr/>
          <w:p>
            <w:pPr>
              <w:pStyle w:val="Compact"/>
              <w:jc w:val="left"/>
            </w:pPr>
            <w:r>
              <w:t xml:space="preserve">6 months</w:t>
            </w:r>
          </w:p>
        </w:tc>
        <w:tc>
          <w:tcPr/>
          <w:p>
            <w:pPr>
              <w:pStyle w:val="Compact"/>
              <w:jc w:val="left"/>
            </w:pPr>
            <w:r>
              <w:t xml:space="preserve">$4,200 / mo</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Local Travel and Site Visits – United States Chicago Metro Area</w:t>
            </w:r>
          </w:p>
        </w:tc>
        <w:tc>
          <w:tcPr/>
          <w:p>
            <w:pPr>
              <w:pStyle w:val="Compact"/>
              <w:jc w:val="left"/>
            </w:pPr>
            <w:r>
              <w:t xml:space="preserve">6 months</w:t>
            </w:r>
          </w:p>
        </w:tc>
        <w:tc>
          <w:tcPr/>
          <w:p>
            <w:pPr>
              <w:pStyle w:val="Compact"/>
              <w:jc w:val="left"/>
            </w:pPr>
            <w:r>
              <w:t xml:space="preserve">$1,800 / mo</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Regulatory Compliance Review and SEC Filing Support</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Project Management and Client Liaison Oversight</w:t>
            </w:r>
          </w:p>
        </w:tc>
        <w:tc>
          <w:tcPr/>
          <w:p>
            <w:pPr>
              <w:pStyle w:val="Compact"/>
              <w:jc w:val="left"/>
            </w:pPr>
            <w:r>
              <w:t xml:space="preserve">6 months</w:t>
            </w:r>
          </w:p>
        </w:tc>
        <w:tc>
          <w:tcPr/>
          <w:p>
            <w:pPr>
              <w:pStyle w:val="Compact"/>
              <w:jc w:val="left"/>
            </w:pPr>
            <w:r>
              <w:t xml:space="preserve">$3,500 / mo</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Knowledge Transfer and Documentation Package (upon completion)</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$8,000.00</w:t>
            </w:r>
          </w:p>
        </w:tc>
      </w:tr>
      <w:tr>
        <w:tc>
          <w:tcPr>
            <w:gridSpan w:val="4"/>
          </w:tcPr>
          <w:p>
            <w:pPr>
              <w:pStyle w:val="Compact"/>
              <w:jc w:val="left"/>
            </w:pPr>
            <w:r>
              <w:t xml:space="preserve">TOTAL ESTIMATED COST (Before Applicable Taxes)</w:t>
            </w:r>
          </w:p>
        </w:tc>
        <w:tc>
          <w:tcPr/>
          <w:p>
            <w:pPr>
              <w:pStyle w:val="Compact"/>
              <w:jc w:val="left"/>
            </w:pPr>
            <w:r>
              <w:t xml:space="preserve">$947,500.00</w:t>
            </w:r>
          </w:p>
        </w:tc>
      </w:tr>
      <w:tr>
        <w:tc>
          <w:tcPr>
            <w:gridSpan w:val="4"/>
          </w:tcPr>
          <w:p>
            <w:pPr>
              <w:pStyle w:val="Compact"/>
              <w:jc w:val="left"/>
            </w:pPr>
            <w:r>
              <w:t xml:space="preserve">Illinois State Sales Tax (10.25% on applicable services)</w:t>
            </w:r>
          </w:p>
        </w:tc>
        <w:tc>
          <w:tcPr/>
          <w:p>
            <w:pPr>
              <w:pStyle w:val="Compact"/>
              <w:jc w:val="left"/>
            </w:pPr>
            <w:r>
              <w:t xml:space="preserve">$97,118.75</w:t>
            </w:r>
          </w:p>
        </w:tc>
      </w:tr>
      <w:tr>
        <w:tc>
          <w:tcPr>
            <w:gridSpan w:val="4"/>
          </w:tcPr>
          <w:p>
            <w:pPr>
              <w:pStyle w:val="Compact"/>
              <w:jc w:val="left"/>
            </w:pPr>
            <w:r>
              <w:t xml:space="preserve">GRAND TOTAL (USD)</w:t>
            </w:r>
          </w:p>
        </w:tc>
        <w:tc>
          <w:tcPr/>
          <w:p>
            <w:pPr>
              <w:pStyle w:val="Compact"/>
              <w:jc w:val="left"/>
            </w:pPr>
            <w:r>
              <w:t xml:space="preserve">$1,044,618.75</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issuance. Beyond this period, all rates and availability of the Financial Analyst professional are subject to revision.</w:t>
      </w:r>
    </w:p>
    <w:p>
      <w:pPr>
        <w:numPr>
          <w:ilvl w:val="0"/>
          <w:numId w:val="1002"/>
        </w:numPr>
        <w:pStyle w:val="Compact"/>
      </w:pPr>
      <w:r>
        <w:t xml:space="preserve">Payment terms: 40% upon execution of the engagement contract, 30% at the midpoint of the six-month Financial Analyst engagement, and 30% upon final delivery and acceptance of all deliverables.</w:t>
      </w:r>
    </w:p>
    <w:p>
      <w:pPr>
        <w:numPr>
          <w:ilvl w:val="0"/>
          <w:numId w:val="1002"/>
        </w:numPr>
        <w:pStyle w:val="Compact"/>
      </w:pPr>
      <w:r>
        <w:t xml:space="preserve">All work performed by the Financial Analyst shall be conducted in accordance with the professional standards of the CFA Institute and applicable United States securities laws, including the Securities Exchange Act of 1934 and regulations enforced by the U.S. Securities and Exchange Commission (SEC).</w:t>
      </w:r>
    </w:p>
    <w:p>
      <w:pPr>
        <w:numPr>
          <w:ilvl w:val="0"/>
          <w:numId w:val="1002"/>
        </w:numPr>
        <w:pStyle w:val="Compact"/>
      </w:pPr>
      <w:r>
        <w:t xml:space="preserve">Travel expenses within the United States Chicago metropolitan area (Cook, DuPage, Lake, Kane, and Will counties) are included. Any travel outside this defined geographic scope will be billed separately at actual cost plus a 15% administrative surcharge.</w:t>
      </w:r>
    </w:p>
    <w:p>
      <w:pPr>
        <w:numPr>
          <w:ilvl w:val="0"/>
          <w:numId w:val="1002"/>
        </w:numPr>
        <w:pStyle w:val="Compact"/>
      </w:pPr>
      <w:r>
        <w:t xml:space="preserve">The Financial Analyst shall maintain strict confidentiality of all proprietary financial data, trade strategies, and client information in compliance with the Illinois Freedom of Information Act and applicable federal privacy regulations.</w:t>
      </w:r>
    </w:p>
    <w:p>
      <w:pPr>
        <w:numPr>
          <w:ilvl w:val="0"/>
          <w:numId w:val="1002"/>
        </w:numPr>
        <w:pStyle w:val="Compact"/>
      </w:pPr>
      <w:r>
        <w:t xml:space="preserve">This Quotation Estimate does not constitute a binding contract until both parties have executed a formal Service Agreement. All terms herein are subject to the final contractual documentation.</w:t>
      </w:r>
    </w:p>
    <w:p>
      <w:pPr>
        <w:numPr>
          <w:ilvl w:val="0"/>
          <w:numId w:val="1002"/>
        </w:numPr>
        <w:pStyle w:val="Compact"/>
      </w:pPr>
      <w:r>
        <w:t xml:space="preserve">Any scope changes or additional deliverables requested by the client beyond the original Financial Analyst engagement scope will be subject to a revised Quotation Estimate and mutual written approval.</w:t>
      </w:r>
    </w:p>
    <w:p>
      <w:pPr>
        <w:pStyle w:val="FirstParagraph"/>
      </w:pPr>
      <w:r>
        <w:rPr>
          <w:bCs/>
          <w:b/>
        </w:rPr>
        <w:t xml:space="preserve">Important Note:</w:t>
      </w:r>
      <w:r>
        <w:t xml:space="preserve"> </w:t>
      </w:r>
      <w:r>
        <w:t xml:space="preserve">This Quotation Estimate reflects current market rates for a Senior Financial Analyst in the United States Chicago professional services sector as of June 2025. Rates are subject to adjustment based on market conditions, availability of qualified Financial Analyst professionals, and any changes in applicable Illinois or federal tax legislation prior to the commencement of the engagement.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cost projections outlined herein for the engagement of the Financial Analyst professional in the United States Chicago area.</w:t>
      </w:r>
    </w:p>
    <w:p>
      <w:pPr>
        <w:pStyle w:val="BodyText"/>
      </w:pPr>
      <w:r>
        <w:rPr>
          <w:bCs/>
          <w:b/>
        </w:rPr>
        <w:t xml:space="preserve">For: Meridian Capital Partners, Inc.</w:t>
      </w:r>
    </w:p>
    <w:p>
      <w:pPr>
        <w:pStyle w:val="BodyText"/>
      </w:pPr>
      <w:r>
        <w:t xml:space="preserve">Authorized Signatory: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For: Lakeview Business Consulting Group, LLC</w:t>
      </w:r>
    </w:p>
    <w:p>
      <w:pPr>
        <w:pStyle w:val="BodyText"/>
      </w:pPr>
      <w:r>
        <w:t xml:space="preserve">Authorized Signatory: ___________________________</w:t>
      </w:r>
    </w:p>
    <w:p>
      <w:pPr>
        <w:pStyle w:val="BodyText"/>
      </w:pPr>
      <w:r>
        <w:t xml:space="preserve">Name: Daniel R. Whitfield</w:t>
      </w:r>
    </w:p>
    <w:p>
      <w:pPr>
        <w:pStyle w:val="BodyText"/>
      </w:pPr>
      <w:r>
        <w:t xml:space="preserve">Title: Senior Engagement Manager</w:t>
      </w:r>
    </w:p>
    <w:p>
      <w:pPr>
        <w:pStyle w:val="BodyText"/>
      </w:pPr>
      <w:r>
        <w:t xml:space="preserve">Date: ___________________________</w:t>
      </w:r>
    </w:p>
    <w:p>
      <w:pPr>
        <w:pStyle w:val="BodyText"/>
      </w:pPr>
      <w:r>
        <w:t xml:space="preserve">Lakeview Business Consulting Group, LLC | 150 N. Michigan Avenue, Suite 2200, Chicago, IL 60601, United States</w:t>
      </w:r>
    </w:p>
    <w:p>
      <w:pPr>
        <w:pStyle w:val="BodyText"/>
      </w:pPr>
      <w:r>
        <w:t xml:space="preserve">Quotation Estimate No. QTE-2025-CHIC-0487 | This document is confidential and intended solely for the named recipient.</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United States Chicago</dc:title>
  <dc:creator/>
  <dc:language>en</dc:language>
  <cp:keywords/>
  <dcterms:created xsi:type="dcterms:W3CDTF">2026-10-10T03:50:14Z</dcterms:created>
  <dcterms:modified xsi:type="dcterms:W3CDTF">2026-10-10T03:50:14Z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