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eridian-capital-advisory-group"/>
    <w:p>
      <w:pPr>
        <w:pStyle w:val="Heading1"/>
      </w:pPr>
      <w:r>
        <w:t xml:space="preserve">MERIDIAN CAPITAL ADVISORY GROUP</w:t>
      </w:r>
    </w:p>
    <w:p>
      <w:pPr>
        <w:pStyle w:val="FirstParagraph"/>
      </w:pPr>
      <w:r>
        <w:t xml:space="preserve">200 Park Avenue, Suite 4200, New York, NY 10166</w:t>
      </w:r>
    </w:p>
    <w:p>
      <w:pPr>
        <w:pStyle w:val="BodyText"/>
      </w:pPr>
      <w:r>
        <w:t xml:space="preserve">Phone: (212) 555-0147 | Email: quotations@meridiancapitaladvisory.com</w:t>
      </w:r>
    </w:p>
    <w:p>
      <w:pPr>
        <w:pStyle w:val="BodyText"/>
      </w:pPr>
      <w:r>
        <w:t xml:space="preserve">NYC Business License No. 44-287193 | EIN: 84-2917365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QTE-2025-NYC-0487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Daniel R. Whitfield, Senior Consultant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Address], New York, NY 10001</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(212) 555-XXXX</w:t>
      </w:r>
    </w:p>
    <w:bookmarkEnd w:id="22"/>
    <w:p>
      <w:pPr>
        <w:pStyle w:val="BodyText"/>
      </w:pPr>
      <w:r>
        <w:t xml:space="preserve">This</w:t>
      </w:r>
      <w:r>
        <w:t xml:space="preserve"> </w:t>
      </w:r>
      <w:r>
        <w:t xml:space="preserve">Quotation Estimate</w:t>
      </w:r>
      <w:r>
        <w:t xml:space="preserve"> </w:t>
      </w:r>
      <w:r>
        <w:t xml:space="preserve">is prepared specifically for the engagement of a qualified</w:t>
      </w:r>
      <w:r>
        <w:t xml:space="preserve"> </w:t>
      </w:r>
      <w:r>
        <w:t xml:space="preserve">Financial Analyst</w:t>
      </w:r>
      <w:r>
        <w:t xml:space="preserve"> </w:t>
      </w:r>
      <w:r>
        <w:t xml:space="preserve">to provide comprehensive financial analysis, reporting, and strategic advisory services to the client organization. All services described herein will be delivered within the</w:t>
      </w:r>
      <w:r>
        <w:t xml:space="preserve"> </w:t>
      </w:r>
      <w:r>
        <w:t xml:space="preserve">United States New York City</w:t>
      </w:r>
      <w:r>
        <w:t xml:space="preserve"> </w:t>
      </w:r>
      <w:r>
        <w:t xml:space="preserve">metropolitan area, in full compliance with applicable New York State and federal financial regulations, including but not limited to the Sarbanes-Oxley Act, SEC reporting standards, and New York State Department of Financial Services guidelines. This</w:t>
      </w:r>
      <w:r>
        <w:t xml:space="preserve"> </w:t>
      </w:r>
      <w:r>
        <w:t xml:space="preserve">Quotation Estimate</w:t>
      </w:r>
      <w:r>
        <w:t xml:space="preserve"> </w:t>
      </w:r>
      <w:r>
        <w:t xml:space="preserve">reflects current market rates for</w:t>
      </w:r>
      <w:r>
        <w:t xml:space="preserve"> </w:t>
      </w:r>
      <w:r>
        <w:t xml:space="preserve">Financial Analyst</w:t>
      </w:r>
      <w:r>
        <w:t xml:space="preserve"> </w:t>
      </w:r>
      <w:r>
        <w:t xml:space="preserve">professional services as of the date of issuance in the</w:t>
      </w:r>
      <w:r>
        <w:t xml:space="preserve"> </w:t>
      </w:r>
      <w:r>
        <w:t xml:space="preserve">United States New York City</w:t>
      </w:r>
      <w:r>
        <w:t xml:space="preserve"> </w:t>
      </w:r>
      <w:r>
        <w:t xml:space="preserve">financial services sector.</w:t>
      </w:r>
    </w:p>
    <w:p>
      <w:pPr>
        <w:pStyle w:val="BodyText"/>
      </w:pPr>
      <w:r>
        <w:t xml:space="preserve">Scope of Services – Financial Analyst Engagement</w:t>
      </w:r>
    </w:p>
    <w:p>
      <w:pPr>
        <w:pStyle w:val="BodyText"/>
      </w:pPr>
      <w:r>
        <w:t xml:space="preserve">The</w:t>
      </w:r>
      <w:r>
        <w:t xml:space="preserve"> </w:t>
      </w:r>
      <w:r>
        <w:t xml:space="preserve">Financial Analyst</w:t>
      </w:r>
      <w:r>
        <w:t xml:space="preserve"> </w:t>
      </w:r>
      <w:r>
        <w:t xml:space="preserve">engaged under this</w:t>
      </w:r>
      <w:r>
        <w:t xml:space="preserve"> </w:t>
      </w:r>
      <w:r>
        <w:t xml:space="preserve">Quotation Estimate</w:t>
      </w:r>
      <w:r>
        <w:t xml:space="preserve"> </w:t>
      </w:r>
      <w:r>
        <w:t xml:space="preserve">will perform the following duties and deliverables on behalf of the client, operating primarily from the</w:t>
      </w:r>
      <w:r>
        <w:t xml:space="preserve"> </w:t>
      </w:r>
      <w:r>
        <w:t xml:space="preserve">United States New York City</w:t>
      </w:r>
      <w:r>
        <w:t xml:space="preserve"> </w:t>
      </w:r>
      <w:r>
        <w:t xml:space="preserve">office location or as otherwise directed by the client's management team:</w:t>
      </w:r>
    </w:p>
    <w:p>
      <w:pPr>
        <w:numPr>
          <w:ilvl w:val="0"/>
          <w:numId w:val="1001"/>
        </w:numPr>
        <w:pStyle w:val="Compact"/>
      </w:pPr>
      <w:r>
        <w:t xml:space="preserve">Preparation of monthly, quarterly, and annual financial statements, variance analyses, and management reports in accordance with GAAP standards.</w:t>
      </w:r>
    </w:p>
    <w:p>
      <w:pPr>
        <w:numPr>
          <w:ilvl w:val="0"/>
          <w:numId w:val="1001"/>
        </w:numPr>
        <w:pStyle w:val="Compact"/>
      </w:pPr>
      <w:r>
        <w:t xml:space="preserve">Development and maintenance of financial models for budgeting, forecasting, capital allocation, and scenario planning.</w:t>
      </w:r>
    </w:p>
    <w:p>
      <w:pPr>
        <w:numPr>
          <w:ilvl w:val="0"/>
          <w:numId w:val="1001"/>
        </w:numPr>
        <w:pStyle w:val="Compact"/>
      </w:pPr>
      <w:r>
        <w:t xml:space="preserve">Conduct of detailed cost-benefit analyses, return on investment (ROI) assessments, and net present value (NPV) calculations for proposed business initiatives.</w:t>
      </w:r>
    </w:p>
    <w:p>
      <w:pPr>
        <w:numPr>
          <w:ilvl w:val="0"/>
          <w:numId w:val="1001"/>
        </w:numPr>
        <w:pStyle w:val="Compact"/>
      </w:pPr>
      <w:r>
        <w:t xml:space="preserve">Monitoring of key performance indicators (KPIs) and preparation of executive dashboards for the board of directors and C-suite leadership.</w:t>
      </w:r>
    </w:p>
    <w:p>
      <w:pPr>
        <w:numPr>
          <w:ilvl w:val="0"/>
          <w:numId w:val="1001"/>
        </w:numPr>
        <w:pStyle w:val="Compact"/>
      </w:pPr>
      <w:r>
        <w:t xml:space="preserve">Assistance with due diligence processes, merger and acquisition (M&amp;A) support, and valuation modeling as required.</w:t>
      </w:r>
    </w:p>
    <w:p>
      <w:pPr>
        <w:numPr>
          <w:ilvl w:val="0"/>
          <w:numId w:val="1001"/>
        </w:numPr>
        <w:pStyle w:val="Compact"/>
      </w:pPr>
      <w:r>
        <w:t xml:space="preserve">Coordination with internal audit, external auditors, and tax advisors to ensure regulatory compliance within the</w:t>
      </w:r>
      <w:r>
        <w:t xml:space="preserve"> </w:t>
      </w:r>
      <w:r>
        <w:t xml:space="preserve">United States New York City</w:t>
      </w:r>
      <w:r>
        <w:t xml:space="preserve"> </w:t>
      </w:r>
      <w:r>
        <w:t xml:space="preserve">jurisdiction.</w:t>
      </w:r>
    </w:p>
    <w:p>
      <w:pPr>
        <w:numPr>
          <w:ilvl w:val="0"/>
          <w:numId w:val="1001"/>
        </w:numPr>
        <w:pStyle w:val="Compact"/>
      </w:pPr>
      <w:r>
        <w:t xml:space="preserve">Ad-hoc financial research, market analysis, and competitive benchmarking reports tailored to the client's industry vertical.</w:t>
      </w:r>
    </w:p>
    <w:p>
      <w:pPr>
        <w:pStyle w:val="FirstParagraph"/>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Senior Financial Analyst – Full-Time Engagement (40 hrs/week)</w:t>
            </w:r>
          </w:p>
        </w:tc>
        <w:tc>
          <w:tcPr/>
          <w:p>
            <w:pPr>
              <w:pStyle w:val="Compact"/>
              <w:jc w:val="left"/>
            </w:pPr>
            <w:r>
              <w:t xml:space="preserve">6 Months</w:t>
            </w:r>
          </w:p>
        </w:tc>
        <w:tc>
          <w:tcPr/>
          <w:p>
            <w:pPr>
              <w:pStyle w:val="Compact"/>
              <w:jc w:val="left"/>
            </w:pPr>
            <w:r>
              <w:t xml:space="preserve">$185/hr</w:t>
            </w:r>
          </w:p>
        </w:tc>
        <w:tc>
          <w:tcPr/>
          <w:p>
            <w:pPr>
              <w:pStyle w:val="Compact"/>
              <w:jc w:val="left"/>
            </w:pPr>
            <w:r>
              <w:t xml:space="preserve">$193,800.00</w:t>
            </w:r>
          </w:p>
        </w:tc>
      </w:tr>
      <w:tr>
        <w:tc>
          <w:tcPr/>
          <w:p>
            <w:pPr>
              <w:pStyle w:val="Compact"/>
              <w:jc w:val="left"/>
            </w:pPr>
            <w:r>
              <w:t xml:space="preserve">2</w:t>
            </w:r>
          </w:p>
        </w:tc>
        <w:tc>
          <w:tcPr/>
          <w:p>
            <w:pPr>
              <w:pStyle w:val="Compact"/>
              <w:jc w:val="left"/>
            </w:pPr>
            <w:r>
              <w:t xml:space="preserve">Financial Modeling &amp; Forecasting Suite (Annual Budget Build)</w:t>
            </w:r>
          </w:p>
        </w:tc>
        <w:tc>
          <w:tcPr/>
          <w:p>
            <w:pPr>
              <w:pStyle w:val="Compact"/>
              <w:jc w:val="left"/>
            </w:pPr>
            <w:r>
              <w:t xml:space="preserve">One-Time</w:t>
            </w:r>
          </w:p>
        </w:tc>
        <w:tc>
          <w:tcPr/>
          <w:p>
            <w:pPr>
              <w:pStyle w:val="Compact"/>
              <w:jc w:val="left"/>
            </w:pPr>
            <w:r>
              <w:t xml:space="preserve">Fixed Fee</w:t>
            </w:r>
          </w:p>
        </w:tc>
        <w:tc>
          <w:tcPr/>
          <w:p>
            <w:pPr>
              <w:pStyle w:val="Compact"/>
              <w:jc w:val="left"/>
            </w:pPr>
            <w:r>
              <w:t xml:space="preserve">$24,500.00</w:t>
            </w:r>
          </w:p>
        </w:tc>
      </w:tr>
      <w:tr>
        <w:tc>
          <w:tcPr/>
          <w:p>
            <w:pPr>
              <w:pStyle w:val="Compact"/>
              <w:jc w:val="left"/>
            </w:pPr>
            <w:r>
              <w:t xml:space="preserve">3</w:t>
            </w:r>
          </w:p>
        </w:tc>
        <w:tc>
          <w:tcPr/>
          <w:p>
            <w:pPr>
              <w:pStyle w:val="Compact"/>
              <w:jc w:val="left"/>
            </w:pPr>
            <w:r>
              <w:t xml:space="preserve">Quarterly Board Reporting Package (4 Deliverables)</w:t>
            </w:r>
          </w:p>
        </w:tc>
        <w:tc>
          <w:tcPr/>
          <w:p>
            <w:pPr>
              <w:pStyle w:val="Compact"/>
              <w:jc w:val="left"/>
            </w:pPr>
            <w:r>
              <w:t xml:space="preserve">6 Months</w:t>
            </w:r>
          </w:p>
        </w:tc>
        <w:tc>
          <w:tcPr/>
          <w:p>
            <w:pPr>
              <w:pStyle w:val="Compact"/>
              <w:jc w:val="left"/>
            </w:pPr>
            <w:r>
              <w:t xml:space="preserve">$3,200/each</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Ad-Hoc Research &amp; Special Projects (up to 80 hours)</w:t>
            </w:r>
          </w:p>
        </w:tc>
        <w:tc>
          <w:tcPr/>
          <w:p>
            <w:pPr>
              <w:pStyle w:val="Compact"/>
              <w:jc w:val="left"/>
            </w:pPr>
            <w:r>
              <w:t xml:space="preserve">6 Months</w:t>
            </w:r>
          </w:p>
        </w:tc>
        <w:tc>
          <w:tcPr/>
          <w:p>
            <w:pPr>
              <w:pStyle w:val="Compact"/>
              <w:jc w:val="left"/>
            </w:pPr>
            <w:r>
              <w:t xml:space="preserve">$145/hr</w:t>
            </w:r>
          </w:p>
        </w:tc>
        <w:tc>
          <w:tcPr/>
          <w:p>
            <w:pPr>
              <w:pStyle w:val="Compact"/>
              <w:jc w:val="left"/>
            </w:pPr>
            <w:r>
              <w:t xml:space="preserve">$11,600.00</w:t>
            </w:r>
          </w:p>
        </w:tc>
      </w:tr>
      <w:tr>
        <w:tc>
          <w:tcPr/>
          <w:p>
            <w:pPr>
              <w:pStyle w:val="Compact"/>
              <w:jc w:val="left"/>
            </w:pPr>
            <w:r>
              <w:t xml:space="preserve">5</w:t>
            </w:r>
          </w:p>
        </w:tc>
        <w:tc>
          <w:tcPr/>
          <w:p>
            <w:pPr>
              <w:pStyle w:val="Compact"/>
              <w:jc w:val="left"/>
            </w:pPr>
            <w:r>
              <w:t xml:space="preserve">Software Licenses &amp; Data Subscriptions (Bloomberg Terminal, FactSet, Tableau)</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$9,420.00</w:t>
            </w:r>
          </w:p>
        </w:tc>
      </w:tr>
      <w:tr>
        <w:tc>
          <w:tcPr/>
          <w:p>
            <w:pPr>
              <w:pStyle w:val="Compact"/>
              <w:jc w:val="left"/>
            </w:pPr>
            <w:r>
              <w:t xml:space="preserve">6</w:t>
            </w:r>
          </w:p>
        </w:tc>
        <w:tc>
          <w:tcPr/>
          <w:p>
            <w:pPr>
              <w:pStyle w:val="Compact"/>
              <w:jc w:val="left"/>
            </w:pPr>
            <w:r>
              <w:t xml:space="preserve">Office Space &amp; Administrative Support – United States New York City</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Compliance &amp; Regulatory Review (NYC / NY State / Federal)</w:t>
            </w:r>
          </w:p>
        </w:tc>
        <w:tc>
          <w:tcPr/>
          <w:p>
            <w:pPr>
              <w:pStyle w:val="Compact"/>
              <w:jc w:val="left"/>
            </w:pPr>
            <w:r>
              <w:t xml:space="preserve">One-Time</w:t>
            </w:r>
          </w:p>
        </w:tc>
        <w:tc>
          <w:tcPr/>
          <w:p>
            <w:pPr>
              <w:pStyle w:val="Compact"/>
              <w:jc w:val="left"/>
            </w:pPr>
            <w:r>
              <w:t xml:space="preserve">Fixed Fee</w:t>
            </w:r>
          </w:p>
        </w:tc>
        <w:tc>
          <w:tcPr/>
          <w:p>
            <w:pPr>
              <w:pStyle w:val="Compact"/>
              <w:jc w:val="left"/>
            </w:pPr>
            <w:r>
              <w:t xml:space="preserve">$5,750.00</w:t>
            </w:r>
          </w:p>
        </w:tc>
      </w:tr>
      <w:tr>
        <w:tc>
          <w:tcPr>
            <w:gridSpan w:val="4"/>
          </w:tcPr>
          <w:p>
            <w:pPr>
              <w:pStyle w:val="Compact"/>
              <w:jc w:val="left"/>
            </w:pPr>
            <w:r>
              <w:t xml:space="preserve">TOTAL ESTIMATED COST (Before Applicable Taxes)</w:t>
            </w:r>
          </w:p>
        </w:tc>
        <w:tc>
          <w:tcPr/>
          <w:p>
            <w:pPr>
              <w:pStyle w:val="Compact"/>
              <w:jc w:val="left"/>
            </w:pPr>
            <w:r>
              <w:t xml:space="preserve">$265,070.00</w:t>
            </w:r>
          </w:p>
        </w:tc>
      </w:tr>
      <w:tr>
        <w:tc>
          <w:tcPr>
            <w:gridSpan w:val="4"/>
          </w:tcPr>
          <w:p>
            <w:pPr>
              <w:pStyle w:val="Compact"/>
              <w:jc w:val="left"/>
            </w:pPr>
            <w:r>
              <w:t xml:space="preserve">New York City Sales &amp; Services Tax (8.875%)</w:t>
            </w:r>
          </w:p>
        </w:tc>
        <w:tc>
          <w:tcPr/>
          <w:p>
            <w:pPr>
              <w:pStyle w:val="Compact"/>
              <w:jc w:val="left"/>
            </w:pPr>
            <w:r>
              <w:t xml:space="preserve">$23,525.16</w:t>
            </w:r>
          </w:p>
        </w:tc>
      </w:tr>
      <w:tr>
        <w:tc>
          <w:tcPr>
            <w:gridSpan w:val="4"/>
          </w:tcPr>
          <w:p>
            <w:pPr>
              <w:pStyle w:val="Compact"/>
              <w:jc w:val="left"/>
            </w:pPr>
            <w:r>
              <w:t xml:space="preserve">New York State Tax (4%)</w:t>
            </w:r>
          </w:p>
        </w:tc>
        <w:tc>
          <w:tcPr/>
          <w:p>
            <w:pPr>
              <w:pStyle w:val="Compact"/>
              <w:jc w:val="left"/>
            </w:pPr>
            <w:r>
              <w:t xml:space="preserve">$10,602.80</w:t>
            </w:r>
          </w:p>
        </w:tc>
      </w:tr>
      <w:tr>
        <w:tc>
          <w:tcPr>
            <w:gridSpan w:val="4"/>
          </w:tcPr>
          <w:p>
            <w:pPr>
              <w:pStyle w:val="Compact"/>
              <w:jc w:val="left"/>
            </w:pPr>
            <w:r>
              <w:t xml:space="preserve">GRAND TOTAL (All Taxes Included)</w:t>
            </w:r>
          </w:p>
        </w:tc>
        <w:tc>
          <w:tcPr/>
          <w:p>
            <w:pPr>
              <w:pStyle w:val="Compact"/>
              <w:jc w:val="left"/>
            </w:pPr>
            <w:r>
              <w:t xml:space="preserve">$299,197.96</w:t>
            </w:r>
          </w:p>
        </w:tc>
      </w:tr>
    </w:tbl>
    <w:p>
      <w:pPr>
        <w:pStyle w:val="BodyText"/>
      </w:pPr>
      <w:r>
        <w:t xml:space="preserve">Payment Schedule</w:t>
      </w:r>
    </w:p>
    <w:p>
      <w:pPr>
        <w:pStyle w:val="BodyText"/>
      </w:pPr>
      <w:r>
        <w:t xml:space="preserve">This</w:t>
      </w:r>
      <w:r>
        <w:t xml:space="preserve"> </w:t>
      </w:r>
      <w:r>
        <w:t xml:space="preserve">Quotation Estimate</w:t>
      </w:r>
      <w:r>
        <w:t xml:space="preserve"> </w:t>
      </w:r>
      <w:r>
        <w:t xml:space="preserve">for</w:t>
      </w:r>
      <w:r>
        <w:t xml:space="preserve"> </w:t>
      </w:r>
      <w:r>
        <w:t xml:space="preserve">Financial Analyst</w:t>
      </w:r>
      <w:r>
        <w:t xml:space="preserve"> </w:t>
      </w:r>
      <w:r>
        <w:t xml:space="preserve">services in the</w:t>
      </w:r>
      <w:r>
        <w:t xml:space="preserve"> </w:t>
      </w:r>
      <w:r>
        <w:t xml:space="preserve">United States New York City</w:t>
      </w:r>
      <w:r>
        <w:t xml:space="preserve"> </w:t>
      </w:r>
      <w:r>
        <w:t xml:space="preserve">area shall be paid according to the following schedule:</w:t>
      </w:r>
    </w:p>
    <w:p>
      <w:pPr>
        <w:numPr>
          <w:ilvl w:val="0"/>
          <w:numId w:val="1002"/>
        </w:numPr>
        <w:pStyle w:val="Compact"/>
      </w:pPr>
      <w:r>
        <w:rPr>
          <w:bCs/>
          <w:b/>
        </w:rPr>
        <w:t xml:space="preserve">25% Deposit:</w:t>
      </w:r>
      <w:r>
        <w:t xml:space="preserve"> </w:t>
      </w:r>
      <w:r>
        <w:t xml:space="preserve">Due upon execution of the service agreement – $74,799.49</w:t>
      </w:r>
    </w:p>
    <w:p>
      <w:pPr>
        <w:numPr>
          <w:ilvl w:val="0"/>
          <w:numId w:val="1002"/>
        </w:numPr>
        <w:pStyle w:val="Compact"/>
      </w:pPr>
      <w:r>
        <w:rPr>
          <w:bCs/>
          <w:b/>
        </w:rPr>
        <w:t xml:space="preserve">Monthly Invoices:</w:t>
      </w:r>
      <w:r>
        <w:t xml:space="preserve"> </w:t>
      </w:r>
      <w:r>
        <w:t xml:space="preserve">Billed on the 1st of each month for services rendered in the prior month – approximately $37,399.83 per month</w:t>
      </w:r>
    </w:p>
    <w:p>
      <w:pPr>
        <w:numPr>
          <w:ilvl w:val="0"/>
          <w:numId w:val="1002"/>
        </w:numPr>
        <w:pStyle w:val="Compact"/>
      </w:pPr>
      <w:r>
        <w:rPr>
          <w:bCs/>
          <w:b/>
        </w:rPr>
        <w:t xml:space="preserve">Final Payment:</w:t>
      </w:r>
      <w:r>
        <w:t xml:space="preserve"> </w:t>
      </w:r>
      <w:r>
        <w:t xml:space="preserve">Due within 30 days of project completion and final deliverable acceptance</w:t>
      </w:r>
    </w:p>
    <w:p>
      <w:pPr>
        <w:pStyle w:val="FirstParagraph"/>
      </w:pPr>
      <w:r>
        <w:t xml:space="preserve">All payments shall be made in U.S. Dollars via wire transfer to the account designated by Meridian Capital Advisory Group. Late payments shall accrue interest at a rate of 1.5% per month, in accordance with New York State commercial law (N.Y. U.C.C. § 2-709).</w:t>
      </w:r>
    </w:p>
    <w:p>
      <w:pPr>
        <w:pStyle w:val="BodyText"/>
      </w:pPr>
      <w:r>
        <w:t xml:space="preserve">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and terms are subject to revision based on prevailing</w:t>
      </w:r>
      <w:r>
        <w:t xml:space="preserve"> </w:t>
      </w:r>
      <w:r>
        <w:t xml:space="preserve">Financial Analyst</w:t>
      </w:r>
      <w:r>
        <w:t xml:space="preserve"> </w:t>
      </w:r>
      <w:r>
        <w:t xml:space="preserve">market conditions in the</w:t>
      </w:r>
      <w:r>
        <w:t xml:space="preserve"> </w:t>
      </w:r>
      <w:r>
        <w:t xml:space="preserve">United States New York City</w:t>
      </w:r>
      <w:r>
        <w:t xml:space="preserve"> </w:t>
      </w:r>
      <w:r>
        <w:t xml:space="preserve">area.</w:t>
      </w:r>
    </w:p>
    <w:p>
      <w:pPr>
        <w:numPr>
          <w:ilvl w:val="0"/>
          <w:numId w:val="1003"/>
        </w:numPr>
        <w:pStyle w:val="Compact"/>
      </w:pPr>
      <w:r>
        <w:t xml:space="preserve">The</w:t>
      </w:r>
      <w:r>
        <w:t xml:space="preserve"> </w:t>
      </w:r>
      <w:r>
        <w:t xml:space="preserve">Financial Analyst</w:t>
      </w:r>
      <w:r>
        <w:t xml:space="preserve"> </w:t>
      </w:r>
      <w:r>
        <w:t xml:space="preserve">assigned to this engagement shall hold a minimum of a Master's degree in Finance, Accounting, or a related field, and possess at least five (5) years of progressive experience in corporate finance, investment banking, or public accounting. CFA charterholder status is preferred.</w:t>
      </w:r>
    </w:p>
    <w:p>
      <w:pPr>
        <w:numPr>
          <w:ilvl w:val="0"/>
          <w:numId w:val="1003"/>
        </w:numPr>
        <w:pStyle w:val="Compact"/>
      </w:pPr>
      <w:r>
        <w:t xml:space="preserve">All work product, models, reports, and analyses produced under this engagement shall become the sole property of the client upon full payment. The</w:t>
      </w:r>
      <w:r>
        <w:t xml:space="preserve"> </w:t>
      </w:r>
      <w:r>
        <w:t xml:space="preserve">Financial Analyst</w:t>
      </w:r>
      <w:r>
        <w:t xml:space="preserve"> </w:t>
      </w:r>
      <w:r>
        <w:t xml:space="preserve">and Meridian Capital Advisory Group shall execute a non-disclosure agreement (NDA) prior to commencement of work.</w:t>
      </w:r>
    </w:p>
    <w:p>
      <w:pPr>
        <w:numPr>
          <w:ilvl w:val="0"/>
          <w:numId w:val="1003"/>
        </w:numPr>
        <w:pStyle w:val="Compact"/>
      </w:pPr>
      <w:r>
        <w:t xml:space="preserve">Services will be performed in compliance with all applicable laws and regulations of the State of New York, the City of New York, and the United States federal government, including but not limited to the Dodd-Frank Wall Street Reform and Consumer Protection Act and NYDFS regulations.</w:t>
      </w:r>
    </w:p>
    <w:p>
      <w:pPr>
        <w:numPr>
          <w:ilvl w:val="0"/>
          <w:numId w:val="1003"/>
        </w:numPr>
        <w:pStyle w:val="Compact"/>
      </w:pPr>
      <w:r>
        <w:t xml:space="preserve">Either party may terminate this engagement with thirty (30) days' written notice. In the event of early termination, the client shall be liable for all services rendered and non-cancellable commitments up to the termination date.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All terms herein are subject to the final executed agreement.</w:t>
      </w:r>
    </w:p>
    <w:p>
      <w:pPr>
        <w:numPr>
          <w:ilvl w:val="0"/>
          <w:numId w:val="1003"/>
        </w:numPr>
        <w:pStyle w:val="Compact"/>
      </w:pPr>
      <w:r>
        <w:t xml:space="preserve">Disputes arising from this engagement shall be resolved through binding arbitration in the</w:t>
      </w:r>
      <w:r>
        <w:t xml:space="preserve"> </w:t>
      </w:r>
      <w:r>
        <w:t xml:space="preserve">United States New York City</w:t>
      </w:r>
      <w:r>
        <w:t xml:space="preserve"> </w:t>
      </w:r>
      <w:r>
        <w:t xml:space="preserve">under the rules of the American Arbitration Association (AAA), Commercial Arbitration Rules.</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Financial Analyst</w:t>
      </w:r>
      <w:r>
        <w:t xml:space="preserve"> </w:t>
      </w:r>
      <w:r>
        <w:t xml:space="preserve">services in the</w:t>
      </w:r>
      <w:r>
        <w:t xml:space="preserve"> </w:t>
      </w:r>
      <w:r>
        <w:t xml:space="preserve">United States New York City</w:t>
      </w:r>
      <w:r>
        <w:t xml:space="preserve"> </w:t>
      </w:r>
      <w:r>
        <w:t xml:space="preserve">area and agrees to the terms, conditions, and pricing outlined herein. This signature authorizes Meridian Capital Advisory Group to proceed with the engagement upon receipt of the initial deposit.</w:t>
      </w:r>
    </w:p>
    <w:p>
      <w:pPr>
        <w:pStyle w:val="BodyText"/>
      </w:pPr>
      <w:r>
        <w:rPr>
          <w:bCs/>
          <w:b/>
        </w:rPr>
        <w:t xml:space="preserve">For Meridian Capital Advisory Group</w:t>
      </w:r>
    </w:p>
    <w:p>
      <w:pPr>
        <w:pStyle w:val="BodyText"/>
      </w:pPr>
      <w:r>
        <w:t xml:space="preserve">Signature: ___________________________</w:t>
      </w:r>
    </w:p>
    <w:p>
      <w:pPr>
        <w:pStyle w:val="BodyText"/>
      </w:pPr>
      <w:r>
        <w:t xml:space="preserve">Name: Daniel R. Whitfield</w:t>
      </w:r>
    </w:p>
    <w:p>
      <w:pPr>
        <w:pStyle w:val="BodyText"/>
      </w:pPr>
      <w:r>
        <w:t xml:space="preserve">Title: Senior Consultant, Financial Services Division</w:t>
      </w:r>
    </w:p>
    <w:p>
      <w:pPr>
        <w:pStyle w:val="BodyText"/>
      </w:pPr>
      <w:r>
        <w:t xml:space="preserve">Date: ___________________________</w:t>
      </w:r>
    </w:p>
    <w:p>
      <w:pPr>
        <w:pStyle w:val="BodyText"/>
      </w:pPr>
      <w:r>
        <w:rPr>
          <w:bCs/>
          <w:b/>
        </w:rPr>
        <w:t xml:space="preserve">For the Client</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Meridian Capital Advisory Group | 200 Park Avenue, Suite 4200, New York, NY 10166 | (212) 555-0147</w:t>
      </w:r>
    </w:p>
    <w:p>
      <w:pPr>
        <w:pStyle w:val="BodyText"/>
      </w:pPr>
      <w:r>
        <w:t xml:space="preserve">This Quotation Estimate is confidential and intended solely for the named client. Unauthorized reproduction or distribution is prohibited.</w:t>
      </w:r>
    </w:p>
    <w:p>
      <w:pPr>
        <w:pStyle w:val="BodyText"/>
      </w:pPr>
      <w:r>
        <w:t xml:space="preserve">Document Reference: QTE-2025-NYC-0487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United States New York City</dc:title>
  <dc:creator/>
  <dc:language>en</dc:language>
  <cp:keywords/>
  <dcterms:created xsi:type="dcterms:W3CDTF">2026-10-10T13:53:16Z</dcterms:created>
  <dcterms:modified xsi:type="dcterms:W3CDTF">2026-10-10T13:53:16Z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