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t xml:space="preserve">Professional Services — Financial Analyst Engagement</w:t>
      </w:r>
    </w:p>
    <w:p>
      <w:pPr>
        <w:pStyle w:val="BodyText"/>
      </w:pPr>
      <w:r>
        <w:t xml:space="preserve">Location: Venezuela Caracas</w:t>
      </w:r>
    </w:p>
    <w:bookmarkEnd w:id="20"/>
    <w:p>
      <w:pPr>
        <w:pStyle w:val="BodyText"/>
      </w:pPr>
      <w:r>
        <w:rPr>
          <w:bCs/>
          <w:b/>
        </w:rPr>
        <w:t xml:space="preserve">Document No.:</w:t>
      </w:r>
      <w:r>
        <w:br/>
      </w:r>
      <w:r>
        <w:t xml:space="preserve">QTE-VC-2025-0472</w:t>
      </w:r>
    </w:p>
    <w:p>
      <w:pPr>
        <w:pStyle w:val="BodyText"/>
      </w:pPr>
      <w:r>
        <w:rPr>
          <w:bCs/>
          <w:b/>
        </w:rPr>
        <w:t xml:space="preserve">Date of Issue:</w:t>
      </w:r>
      <w:r>
        <w:br/>
      </w:r>
      <w:r>
        <w:t xml:space="preserve">June 12, 2025</w:t>
      </w:r>
    </w:p>
    <w:p>
      <w:pPr>
        <w:pStyle w:val="BodyText"/>
      </w:pPr>
      <w:r>
        <w:rPr>
          <w:bCs/>
          <w:b/>
        </w:rPr>
        <w:t xml:space="preserve">Valid Until:</w:t>
      </w:r>
      <w:r>
        <w:br/>
      </w:r>
      <w:r>
        <w:t xml:space="preserve">July 12, 2025</w:t>
      </w:r>
    </w:p>
    <w:p>
      <w:pPr>
        <w:pStyle w:val="BodyText"/>
      </w:pPr>
      <w:r>
        <w:rPr>
          <w:bCs/>
          <w:b/>
        </w:rPr>
        <w:t xml:space="preserve">Prepared For:</w:t>
      </w:r>
      <w:r>
        <w:br/>
      </w:r>
      <w:r>
        <w:t xml:space="preserve">Client Organization</w:t>
      </w:r>
    </w:p>
    <w:bookmarkStart w:id="21" w:name="introduction-and-purpose"/>
    <w:p>
      <w:pPr>
        <w:pStyle w:val="Heading2"/>
      </w:pPr>
      <w:r>
        <w:t xml:space="preserve">1. Introduction and Purpose</w:t>
      </w:r>
    </w:p>
    <w:p>
      <w:pPr>
        <w:pStyle w:val="FirstParagraph"/>
      </w:pPr>
      <w:r>
        <w:t xml:space="preserve">This</w:t>
      </w:r>
      <w:r>
        <w:t xml:space="preserve"> </w:t>
      </w:r>
      <w:r>
        <w:t xml:space="preserve">Quotation Estimate</w:t>
      </w:r>
      <w:r>
        <w:t xml:space="preserve"> </w:t>
      </w:r>
      <w:r>
        <w:t xml:space="preserve">is formally presented to outline the scope, deliverables, and associated costs for the engagement of a qualified</w:t>
      </w:r>
      <w:r>
        <w:t xml:space="preserve"> </w:t>
      </w:r>
      <w:r>
        <w:t xml:space="preserve">Financial Analyst</w:t>
      </w:r>
      <w:r>
        <w:t xml:space="preserve"> </w:t>
      </w:r>
      <w:r>
        <w:t xml:space="preserve">to provide specialized advisory and analytical services within the metropolitan area of</w:t>
      </w:r>
      <w:r>
        <w:t xml:space="preserve"> </w:t>
      </w:r>
      <w:r>
        <w:t xml:space="preserve">Venezuela Caracas</w:t>
      </w:r>
      <w:r>
        <w:t xml:space="preserve">. This document serves as a binding proposal for the client to review, approve, and authorize the commencement of professional services as detailed herein.</w:t>
      </w:r>
    </w:p>
    <w:p>
      <w:pPr>
        <w:pStyle w:val="BodyText"/>
      </w:pPr>
      <w:r>
        <w:t xml:space="preserve">The</w:t>
      </w:r>
      <w:r>
        <w:t xml:space="preserve"> </w:t>
      </w:r>
      <w:r>
        <w:t xml:space="preserve">Financial Analyst</w:t>
      </w:r>
      <w:r>
        <w:t xml:space="preserve"> </w:t>
      </w:r>
      <w:r>
        <w:t xml:space="preserve">proposed for this engagement brings over twelve years of experience in corporate finance, investment analysis, risk assessment, and financial modeling, with specific expertise in navigating the complex economic and regulatory environment of</w:t>
      </w:r>
      <w:r>
        <w:t xml:space="preserve"> </w:t>
      </w:r>
      <w:r>
        <w:t xml:space="preserve">Venezuela Caracas</w:t>
      </w:r>
      <w:r>
        <w:t xml:space="preserve">. The analyst is well-versed in the local banking infrastructure, currency exchange mechanisms, tax regulations administered by the Servicio Nacional Integrado de Administración Aduanera y Fiscal (SENIAT), and the operational dynamics of businesses operating in the capital region.</w:t>
      </w:r>
    </w:p>
    <w:bookmarkEnd w:id="21"/>
    <w:bookmarkStart w:id="22" w:name="scope-of-services"/>
    <w:p>
      <w:pPr>
        <w:pStyle w:val="Heading2"/>
      </w:pPr>
      <w:r>
        <w:t xml:space="preserve">2. Scope of Services</w:t>
      </w:r>
    </w:p>
    <w:p>
      <w:pPr>
        <w:pStyle w:val="FirstParagraph"/>
      </w:pPr>
      <w:r>
        <w:t xml:space="preserve">The</w:t>
      </w:r>
      <w:r>
        <w:t xml:space="preserve"> </w:t>
      </w:r>
      <w:r>
        <w:t xml:space="preserve">Financial Analyst</w:t>
      </w:r>
      <w:r>
        <w:t xml:space="preserve"> </w:t>
      </w:r>
      <w:r>
        <w:t xml:space="preserve">will deliver the following services tailored to the operational and strategic needs of the client in</w:t>
      </w:r>
      <w:r>
        <w:t xml:space="preserve"> </w:t>
      </w:r>
      <w:r>
        <w:t xml:space="preserve">Venezuela Caracas</w:t>
      </w:r>
      <w:r>
        <w:t xml:space="preserve">:</w:t>
      </w:r>
    </w:p>
    <w:p>
      <w:pPr>
        <w:numPr>
          <w:ilvl w:val="0"/>
          <w:numId w:val="1001"/>
        </w:numPr>
        <w:pStyle w:val="Compact"/>
      </w:pPr>
      <w:r>
        <w:rPr>
          <w:bCs/>
          <w:b/>
        </w:rPr>
        <w:t xml:space="preserve">Financial Modeling and Forecasting:</w:t>
      </w:r>
      <w:r>
        <w:t xml:space="preserve"> </w:t>
      </w:r>
      <w:r>
        <w:t xml:space="preserve">Development of comprehensive financial models including revenue projections, cost structure analysis, and cash flow forecasting adapted to the multi-currency environment prevalent in</w:t>
      </w:r>
      <w:r>
        <w:t xml:space="preserve"> </w:t>
      </w:r>
      <w:r>
        <w:t xml:space="preserve">Venezuela Caracas</w:t>
      </w:r>
      <w:r>
        <w:t xml:space="preserve">.</w:t>
      </w:r>
    </w:p>
    <w:p>
      <w:pPr>
        <w:numPr>
          <w:ilvl w:val="0"/>
          <w:numId w:val="1001"/>
        </w:numPr>
        <w:pStyle w:val="Compact"/>
      </w:pPr>
      <w:r>
        <w:rPr>
          <w:bCs/>
          <w:b/>
        </w:rPr>
        <w:t xml:space="preserve">Investment Analysis:</w:t>
      </w:r>
      <w:r>
        <w:t xml:space="preserve"> </w:t>
      </w:r>
      <w:r>
        <w:t xml:space="preserve">Evaluation of potential investment opportunities, portfolio performance tracking, and risk-adjusted return calculations specific to the Venezuelan market conditions.</w:t>
      </w:r>
    </w:p>
    <w:p>
      <w:pPr>
        <w:numPr>
          <w:ilvl w:val="0"/>
          <w:numId w:val="1001"/>
        </w:numPr>
        <w:pStyle w:val="Compact"/>
      </w:pPr>
      <w:r>
        <w:rPr>
          <w:bCs/>
          <w:b/>
        </w:rPr>
        <w:t xml:space="preserve">Regulatory Compliance Review:</w:t>
      </w:r>
      <w:r>
        <w:t xml:space="preserve"> </w:t>
      </w:r>
      <w:r>
        <w:t xml:space="preserve">Ongoing monitoring and reporting on compliance with local financial regulations, including those issued by the Banco Central de Venezuela (BCV) and the Superintendencia de Bancos.</w:t>
      </w:r>
    </w:p>
    <w:p>
      <w:pPr>
        <w:numPr>
          <w:ilvl w:val="0"/>
          <w:numId w:val="1001"/>
        </w:numPr>
        <w:pStyle w:val="Compact"/>
      </w:pPr>
      <w:r>
        <w:rPr>
          <w:bCs/>
          <w:b/>
        </w:rPr>
        <w:t xml:space="preserve">Budgeting and Variance Analysis:</w:t>
      </w:r>
      <w:r>
        <w:t xml:space="preserve"> </w:t>
      </w:r>
      <w:r>
        <w:t xml:space="preserve">Monthly preparation of detailed budget reports, variance analyses, and corrective action recommendations for executive leadership.</w:t>
      </w:r>
    </w:p>
    <w:p>
      <w:pPr>
        <w:numPr>
          <w:ilvl w:val="0"/>
          <w:numId w:val="1001"/>
        </w:numPr>
        <w:pStyle w:val="Compact"/>
      </w:pPr>
      <w:r>
        <w:rPr>
          <w:bCs/>
          <w:b/>
        </w:rPr>
        <w:t xml:space="preserve">Due Diligence Support:</w:t>
      </w:r>
      <w:r>
        <w:t xml:space="preserve"> </w:t>
      </w:r>
      <w:r>
        <w:t xml:space="preserve">Financial due diligence for mergers, acquisitions, or joint ventures within the</w:t>
      </w:r>
      <w:r>
        <w:t xml:space="preserve"> </w:t>
      </w:r>
      <w:r>
        <w:t xml:space="preserve">Venezuela Caracas</w:t>
      </w:r>
      <w:r>
        <w:t xml:space="preserve"> </w:t>
      </w:r>
      <w:r>
        <w:t xml:space="preserve">business ecosystem.</w:t>
      </w:r>
    </w:p>
    <w:p>
      <w:pPr>
        <w:numPr>
          <w:ilvl w:val="0"/>
          <w:numId w:val="1001"/>
        </w:numPr>
        <w:pStyle w:val="Compact"/>
      </w:pPr>
      <w:r>
        <w:rPr>
          <w:bCs/>
          <w:b/>
        </w:rPr>
        <w:t xml:space="preserve">Ad-hoc Analytical Reports:</w:t>
      </w:r>
      <w:r>
        <w:t xml:space="preserve"> </w:t>
      </w:r>
      <w:r>
        <w:t xml:space="preserve">Preparation of special reports, presentations, and board-level financial summaries as requested by the client management.</w:t>
      </w:r>
    </w:p>
    <w:bookmarkEnd w:id="22"/>
    <w:bookmarkStart w:id="23" w:name="engagement-terms-and-duration"/>
    <w:p>
      <w:pPr>
        <w:pStyle w:val="Heading2"/>
      </w:pPr>
      <w:r>
        <w:t xml:space="preserve">3. Engagement Terms and Duration</w:t>
      </w:r>
    </w:p>
    <w:p>
      <w:pPr>
        <w:pStyle w:val="FirstParagraph"/>
      </w:pPr>
      <w:r>
        <w:t xml:space="preserve">This</w:t>
      </w:r>
      <w:r>
        <w:t xml:space="preserve"> </w:t>
      </w:r>
      <w:r>
        <w:t xml:space="preserve">Quotation Estimate</w:t>
      </w:r>
      <w:r>
        <w:t xml:space="preserve"> </w:t>
      </w:r>
      <w:r>
        <w:t xml:space="preserve">covers an initial engagement period of</w:t>
      </w:r>
      <w:r>
        <w:t xml:space="preserve"> </w:t>
      </w:r>
      <w:r>
        <w:rPr>
          <w:bCs/>
          <w:b/>
        </w:rPr>
        <w:t xml:space="preserve">twelve (12) months</w:t>
      </w:r>
      <w:r>
        <w:t xml:space="preserve">, commencing upon written acceptance by the client. The</w:t>
      </w:r>
      <w:r>
        <w:t xml:space="preserve"> </w:t>
      </w:r>
      <w:r>
        <w:t xml:space="preserve">Financial Analyst</w:t>
      </w:r>
      <w:r>
        <w:t xml:space="preserve"> </w:t>
      </w:r>
      <w:r>
        <w:t xml:space="preserve">will be available on a full-time basis (Monday through Friday, 8:00 AM to 5:00 PM, Caracas time) with the option for extended availability during critical reporting periods. All services will be rendered from the analyst's professional office located in the Chacao district of</w:t>
      </w:r>
      <w:r>
        <w:t xml:space="preserve"> </w:t>
      </w:r>
      <w:r>
        <w:t xml:space="preserve">Venezuela Caracas</w:t>
      </w:r>
      <w:r>
        <w:t xml:space="preserve">, with the option for on-site visits to the client's premises up to three (3) times per week.</w:t>
      </w:r>
    </w:p>
    <w:p>
      <w:pPr>
        <w:pStyle w:val="BodyText"/>
      </w:pPr>
      <w:r>
        <w:t xml:space="preserve">Renewal of this engagement beyond the initial twelve-month period will be subject to mutual agreement and a revised</w:t>
      </w:r>
      <w:r>
        <w:t xml:space="preserve"> </w:t>
      </w:r>
      <w:r>
        <w:t xml:space="preserve">Quotation Estimate</w:t>
      </w:r>
      <w:r>
        <w:t xml:space="preserve"> </w:t>
      </w:r>
      <w:r>
        <w:t xml:space="preserve">reflecting any changes in scope, market conditions, or regulatory requirements in</w:t>
      </w:r>
      <w:r>
        <w:t xml:space="preserve"> </w:t>
      </w:r>
      <w:r>
        <w:t xml:space="preserve">Venezuela Caracas</w:t>
      </w:r>
      <w:r>
        <w:t xml:space="preserve">.</w:t>
      </w:r>
    </w:p>
    <w:bookmarkEnd w:id="23"/>
    <w:bookmarkStart w:id="24" w:name="fee-structure-and-payment-schedule"/>
    <w:p>
      <w:pPr>
        <w:pStyle w:val="Heading2"/>
      </w:pPr>
      <w:r>
        <w:t xml:space="preserve">4. Fee Structure and Payment Schedule</w:t>
      </w:r>
    </w:p>
    <w:p>
      <w:pPr>
        <w:pStyle w:val="FirstParagraph"/>
      </w:pPr>
      <w:r>
        <w:t xml:space="preserve">The following fee structure is established for the</w:t>
      </w:r>
      <w:r>
        <w:t xml:space="preserve"> </w:t>
      </w:r>
      <w:r>
        <w:t xml:space="preserve">Financial Analyst</w:t>
      </w:r>
      <w:r>
        <w:t xml:space="preserve"> </w:t>
      </w:r>
      <w:r>
        <w:t xml:space="preserve">services as part of this</w:t>
      </w:r>
      <w:r>
        <w:t xml:space="preserve"> </w:t>
      </w:r>
      <w:r>
        <w:t xml:space="preserve">Quotation Estimate</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Component</w:t>
            </w:r>
          </w:p>
        </w:tc>
        <w:tc>
          <w:tcPr/>
          <w:p>
            <w:pPr>
              <w:pStyle w:val="Compact"/>
              <w:jc w:val="left"/>
            </w:pPr>
            <w:r>
              <w:t xml:space="preserve">Frequency</w:t>
            </w:r>
          </w:p>
        </w:tc>
        <w:tc>
          <w:tcPr/>
          <w:p>
            <w:pPr>
              <w:pStyle w:val="Compact"/>
              <w:jc w:val="left"/>
            </w:pPr>
            <w:r>
              <w:t xml:space="preserve">Monthly Fee (USD)</w:t>
            </w:r>
          </w:p>
        </w:tc>
        <w:tc>
          <w:tcPr/>
          <w:p>
            <w:pPr>
              <w:pStyle w:val="Compact"/>
              <w:jc w:val="left"/>
            </w:pPr>
            <w:r>
              <w:t xml:space="preserve">Annual Fee (USD)</w:t>
            </w:r>
          </w:p>
        </w:tc>
      </w:tr>
      <w:tr>
        <w:tc>
          <w:tcPr/>
          <w:p>
            <w:pPr>
              <w:pStyle w:val="Compact"/>
              <w:jc w:val="left"/>
            </w:pPr>
            <w:r>
              <w:t xml:space="preserve">Core Financial Analysis &amp; Modeling</w:t>
            </w:r>
          </w:p>
        </w:tc>
        <w:tc>
          <w:tcPr/>
          <w:p>
            <w:pPr>
              <w:pStyle w:val="Compact"/>
              <w:jc w:val="left"/>
            </w:pPr>
            <w:r>
              <w:t xml:space="preserve">Monthly</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Investment &amp; Portfolio Analysis</w:t>
            </w:r>
          </w:p>
        </w:tc>
        <w:tc>
          <w:tcPr/>
          <w:p>
            <w:pPr>
              <w:pStyle w:val="Compact"/>
              <w:jc w:val="left"/>
            </w:pPr>
            <w:r>
              <w:t xml:space="preserve">Monthly</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Regulatory Compliance &amp; Reporting</w:t>
            </w:r>
          </w:p>
        </w:tc>
        <w:tc>
          <w:tcPr/>
          <w:p>
            <w:pPr>
              <w:pStyle w:val="Compact"/>
              <w:jc w:val="left"/>
            </w:pPr>
            <w:r>
              <w:t xml:space="preserve">Monthly</w:t>
            </w:r>
          </w:p>
        </w:tc>
        <w:tc>
          <w:tcPr/>
          <w:p>
            <w:pPr>
              <w:pStyle w:val="Compact"/>
              <w:jc w:val="left"/>
            </w:pPr>
            <w:r>
              <w:t xml:space="preserve">$1,900.00</w:t>
            </w:r>
          </w:p>
        </w:tc>
        <w:tc>
          <w:tcPr/>
          <w:p>
            <w:pPr>
              <w:pStyle w:val="Compact"/>
              <w:jc w:val="left"/>
            </w:pPr>
            <w:r>
              <w:t xml:space="preserve">$22,800.00</w:t>
            </w:r>
          </w:p>
        </w:tc>
      </w:tr>
      <w:tr>
        <w:tc>
          <w:tcPr/>
          <w:p>
            <w:pPr>
              <w:pStyle w:val="Compact"/>
              <w:jc w:val="left"/>
            </w:pPr>
            <w:r>
              <w:t xml:space="preserve">Budgeting &amp; Variance Analysis</w:t>
            </w:r>
          </w:p>
        </w:tc>
        <w:tc>
          <w:tcPr/>
          <w:p>
            <w:pPr>
              <w:pStyle w:val="Compact"/>
              <w:jc w:val="left"/>
            </w:pPr>
            <w:r>
              <w:t xml:space="preserve">Monthly</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On-Site Visits (up to 3x/week)</w:t>
            </w:r>
          </w:p>
        </w:tc>
        <w:tc>
          <w:tcPr/>
          <w:p>
            <w:pPr>
              <w:pStyle w:val="Compact"/>
              <w:jc w:val="left"/>
            </w:pPr>
            <w:r>
              <w:t xml:space="preserve">Monthly</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Ad-hoc Reports &amp; Board Presentations</w:t>
            </w:r>
          </w:p>
        </w:tc>
        <w:tc>
          <w:tcPr/>
          <w:p>
            <w:pPr>
              <w:pStyle w:val="Compact"/>
              <w:jc w:val="left"/>
            </w:pPr>
            <w:r>
              <w:t xml:space="preserve">As Needed</w:t>
            </w:r>
          </w:p>
        </w:tc>
        <w:tc>
          <w:tcPr/>
          <w:p>
            <w:pPr>
              <w:pStyle w:val="Compact"/>
              <w:jc w:val="left"/>
            </w:pPr>
            <w:r>
              <w:t xml:space="preserve">$800.00</w:t>
            </w:r>
          </w:p>
        </w:tc>
        <w:tc>
          <w:tcPr/>
          <w:p>
            <w:pPr>
              <w:pStyle w:val="Compact"/>
              <w:jc w:val="left"/>
            </w:pPr>
            <w:r>
              <w:t xml:space="preserve">$9,600.00</w:t>
            </w:r>
          </w:p>
        </w:tc>
      </w:tr>
      <w:tr>
        <w:tc>
          <w:tcPr>
            <w:gridSpan w:val="2"/>
          </w:tcPr>
          <w:p>
            <w:pPr>
              <w:pStyle w:val="Compact"/>
              <w:jc w:val="left"/>
            </w:pPr>
            <w:r>
              <w:rPr>
                <w:bCs/>
                <w:b/>
              </w:rPr>
              <w:t xml:space="preserve">TOTAL ANNUAL FEE</w:t>
            </w:r>
          </w:p>
        </w:tc>
        <w:tc>
          <w:tcPr/>
          <w:p>
            <w:pPr>
              <w:pStyle w:val="Compact"/>
              <w:jc w:val="left"/>
            </w:pPr>
            <w:r>
              <w:rPr>
                <w:bCs/>
                <w:b/>
              </w:rPr>
              <w:t xml:space="preserve">$12,700.00</w:t>
            </w:r>
          </w:p>
        </w:tc>
        <w:tc>
          <w:tcPr/>
          <w:p>
            <w:pPr>
              <w:pStyle w:val="Compact"/>
              <w:jc w:val="left"/>
            </w:pPr>
            <w:r>
              <w:rPr>
                <w:bCs/>
                <w:b/>
              </w:rPr>
              <w:t xml:space="preserve">$152,400.00</w:t>
            </w:r>
          </w:p>
        </w:tc>
      </w:tr>
    </w:tbl>
    <w:p>
      <w:pPr>
        <w:pStyle w:val="BodyText"/>
      </w:pPr>
      <w:r>
        <w:t xml:space="preserve">All fees are quoted in United States Dollars (USD) and are subject to applicable Venezuelan tax obligations, including the Impuesto al Valor Agregado (IVA) at the current rate of 16%, which will be added to the invoiced amount. Payment terms are Net 30 days from the date of invoice issuance. Invoices will be issued on the first business day of each month for services rendered in the preceding month.</w:t>
      </w:r>
    </w:p>
    <w:bookmarkEnd w:id="24"/>
    <w:bookmarkStart w:id="25" w:name="additional-costs-and-expenses"/>
    <w:p>
      <w:pPr>
        <w:pStyle w:val="Heading2"/>
      </w:pPr>
      <w:r>
        <w:t xml:space="preserve">5. Additional Costs and Expenses</w:t>
      </w:r>
    </w:p>
    <w:p>
      <w:pPr>
        <w:pStyle w:val="FirstParagraph"/>
      </w:pPr>
      <w:r>
        <w:t xml:space="preserve">The following additional costs are not included in the base fee and will be billed at cost upon prior written approval by the client:</w:t>
      </w:r>
    </w:p>
    <w:p>
      <w:pPr>
        <w:numPr>
          <w:ilvl w:val="0"/>
          <w:numId w:val="1002"/>
        </w:numPr>
        <w:pStyle w:val="Compact"/>
      </w:pPr>
      <w:r>
        <w:t xml:space="preserve">Travel expenses for engagements outside the</w:t>
      </w:r>
      <w:r>
        <w:t xml:space="preserve"> </w:t>
      </w:r>
      <w:r>
        <w:t xml:space="preserve">Venezuela Caracas</w:t>
      </w:r>
      <w:r>
        <w:t xml:space="preserve"> </w:t>
      </w:r>
      <w:r>
        <w:t xml:space="preserve">metropolitan area.</w:t>
      </w:r>
    </w:p>
    <w:p>
      <w:pPr>
        <w:numPr>
          <w:ilvl w:val="0"/>
          <w:numId w:val="1002"/>
        </w:numPr>
        <w:pStyle w:val="Compact"/>
      </w:pPr>
      <w:r>
        <w:t xml:space="preserve">Third-party data subscriptions, market research reports, or specialized software licenses required for specific analyses.</w:t>
      </w:r>
    </w:p>
    <w:p>
      <w:pPr>
        <w:numPr>
          <w:ilvl w:val="0"/>
          <w:numId w:val="1002"/>
        </w:numPr>
        <w:pStyle w:val="Compact"/>
      </w:pPr>
      <w:r>
        <w:t xml:space="preserve">Notary, legal, or regulatory filing fees associated with compliance deliverables.</w:t>
      </w:r>
    </w:p>
    <w:p>
      <w:pPr>
        <w:numPr>
          <w:ilvl w:val="0"/>
          <w:numId w:val="1002"/>
        </w:numPr>
        <w:pStyle w:val="Compact"/>
      </w:pPr>
      <w:r>
        <w:t xml:space="preserve">Emergency or after-hours consulting beyond the standard engagement hours, billed at 1.5x the standard hourly rate.</w:t>
      </w:r>
    </w:p>
    <w:bookmarkEnd w:id="25"/>
    <w:bookmarkStart w:id="26" w:name="confidentiality-and-data-protection"/>
    <w:p>
      <w:pPr>
        <w:pStyle w:val="Heading2"/>
      </w:pPr>
      <w:r>
        <w:t xml:space="preserve">6. Confidentiality and Data Protection</w:t>
      </w:r>
    </w:p>
    <w:p>
      <w:pPr>
        <w:pStyle w:val="FirstParagraph"/>
      </w:pPr>
      <w:r>
        <w:t xml:space="preserve">The</w:t>
      </w:r>
      <w:r>
        <w:t xml:space="preserve"> </w:t>
      </w:r>
      <w:r>
        <w:t xml:space="preserve">Financial Analyst</w:t>
      </w:r>
      <w:r>
        <w:t xml:space="preserve"> </w:t>
      </w:r>
      <w:r>
        <w:t xml:space="preserve">acknowledges and agrees to maintain strict confidentiality regarding all financial data, proprietary information, and business strategies disclosed by the client during the course of this engagement. All documents, models, and reports produced under this</w:t>
      </w:r>
      <w:r>
        <w:t xml:space="preserve"> </w:t>
      </w:r>
      <w:r>
        <w:t xml:space="preserve">Quotation Estimate</w:t>
      </w:r>
      <w:r>
        <w:t xml:space="preserve"> </w:t>
      </w:r>
      <w:r>
        <w:t xml:space="preserve">shall remain the exclusive property of the client. This confidentiality obligation extends beyond the termination of the engagement for a period of three (3) years. Data handling will comply with applicable Venezuelan data protection regulations and international best practices.</w:t>
      </w:r>
    </w:p>
    <w:bookmarkEnd w:id="26"/>
    <w:bookmarkStart w:id="27" w:name="acceptance-and-authorization"/>
    <w:p>
      <w:pPr>
        <w:pStyle w:val="Heading2"/>
      </w:pPr>
      <w:r>
        <w:t xml:space="preserve">7. Acceptance and Authorization</w:t>
      </w:r>
    </w:p>
    <w:p>
      <w:pPr>
        <w:pStyle w:val="FirstParagraph"/>
      </w:pPr>
      <w:r>
        <w:t xml:space="preserve">This</w:t>
      </w:r>
      <w:r>
        <w:t xml:space="preserve"> </w:t>
      </w:r>
      <w:r>
        <w:t xml:space="preserve">Quotation Estimate</w:t>
      </w:r>
      <w:r>
        <w:t xml:space="preserve"> </w:t>
      </w:r>
      <w:r>
        <w:t xml:space="preserve">is valid for thirty (30) calendar days from the date of issue. Acceptance of this proposal constitutes a binding agreement between the parties for the services described herein. The client is requested to sign and return a copy of this document to confirm authorization for the</w:t>
      </w:r>
      <w:r>
        <w:t xml:space="preserve"> </w:t>
      </w:r>
      <w:r>
        <w:t xml:space="preserve">Financial Analyst</w:t>
      </w:r>
      <w:r>
        <w:t xml:space="preserve"> </w:t>
      </w:r>
      <w:r>
        <w:t xml:space="preserve">engagement in</w:t>
      </w:r>
      <w:r>
        <w:t xml:space="preserve"> </w:t>
      </w:r>
      <w:r>
        <w:t xml:space="preserve">Venezuela Caracas</w:t>
      </w:r>
      <w:r>
        <w:t xml:space="preserve">.</w:t>
      </w:r>
    </w:p>
    <w:p>
      <w:pPr>
        <w:pStyle w:val="BodyText"/>
      </w:pPr>
      <w:r>
        <w:rPr>
          <w:bCs/>
          <w:b/>
        </w:rPr>
        <w:t xml:space="preserve">Prepared By:</w:t>
      </w:r>
      <w:r>
        <w:br/>
      </w:r>
      <w:r>
        <w:t xml:space="preserve">[Name of Financial Analyst]</w:t>
      </w:r>
      <w:r>
        <w:br/>
      </w:r>
      <w:r>
        <w:t xml:space="preserve">Senior Financial Analyst</w:t>
      </w:r>
      <w:r>
        <w:br/>
      </w:r>
      <w:r>
        <w:t xml:space="preserve">Caracas, Venezuela</w:t>
      </w:r>
    </w:p>
    <w:p>
      <w:pPr>
        <w:pStyle w:val="BodyText"/>
      </w:pPr>
      <w:r>
        <w:rPr>
          <w:bCs/>
          <w:b/>
        </w:rPr>
        <w:t xml:space="preserve">Accepted By (Client):</w:t>
      </w:r>
      <w:r>
        <w:br/>
      </w:r>
      <w:r>
        <w:t xml:space="preserve">[Name and Title]</w:t>
      </w:r>
      <w:r>
        <w:br/>
      </w:r>
      <w:r>
        <w:t xml:space="preserve">[Organization Name]</w:t>
      </w:r>
      <w:r>
        <w:br/>
      </w:r>
      <w:r>
        <w:t xml:space="preserve">Date: _______________</w:t>
      </w:r>
    </w:p>
    <w:p>
      <w:pPr>
        <w:pStyle w:val="BodyText"/>
      </w:pPr>
      <w:r>
        <w:rPr>
          <w:bCs/>
          <w:b/>
        </w:rPr>
        <w:t xml:space="preserve">Quotation Estimate No. QTE-VC-2025-0472</w:t>
      </w:r>
      <w:r>
        <w:t xml:space="preserve"> </w:t>
      </w:r>
      <w:r>
        <w:t xml:space="preserve">| Financial Analyst Services | Venezuela Caracas</w:t>
      </w:r>
    </w:p>
    <w:p>
      <w:pPr>
        <w:pStyle w:val="BodyText"/>
      </w:pPr>
      <w:r>
        <w:t xml:space="preserve">This document is confidential and intended solely for the named recipient. Unauthorized reproduction or distribution is prohibited.</w:t>
      </w:r>
    </w:p>
    <w:p>
      <w:pPr>
        <w:pStyle w:val="BodyText"/>
      </w:pPr>
      <w:r>
        <w:t xml:space="preserve">© 2025.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Venezuela Caracas</dc:title>
  <dc:creator/>
  <dc:language>en</dc:language>
  <cp:keywords/>
  <dcterms:created xsi:type="dcterms:W3CDTF">2026-10-10T01:23:05Z</dcterms:created>
  <dcterms:modified xsi:type="dcterms:W3CDTF">2026-10-10T01:23:05Z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