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Prepared for Deployment in Vietnam Ho Chi Minh City</w:t>
      </w:r>
    </w:p>
    <w:bookmarkEnd w:id="20"/>
    <w:p>
      <w:pPr>
        <w:pStyle w:val="BodyText"/>
      </w:pPr>
      <w:r>
        <w:rPr>
          <w:bCs/>
          <w:b/>
        </w:rPr>
        <w:t xml:space="preserve">Quotation No.:</w:t>
      </w:r>
      <w:r>
        <w:t xml:space="preserve"> </w:t>
      </w:r>
      <w:r>
        <w:t xml:space="preserve">QTE-VNM-HCM-2025-0472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Apex Global Talent Solutions Co., Ltd.</w:t>
      </w:r>
      <w:r>
        <w:br/>
      </w:r>
      <w:r>
        <w:rPr>
          <w:bCs/>
          <w:b/>
        </w:rPr>
        <w:t xml:space="preserve">Address:</w:t>
      </w:r>
      <w:r>
        <w:t xml:space="preserve"> </w:t>
      </w:r>
      <w:r>
        <w:t xml:space="preserve">25th Floor, Bitexco Financial Tower, 2 Hải Triều St., District 1, Vietnam Ho Chi Minh City</w:t>
      </w:r>
      <w:r>
        <w:br/>
      </w:r>
      <w:r>
        <w:rPr>
          <w:bCs/>
          <w:b/>
        </w:rPr>
        <w:t xml:space="preserve">Contact:</w:t>
      </w:r>
      <w:r>
        <w:t xml:space="preserve"> </w:t>
      </w:r>
      <w:r>
        <w:t xml:space="preserve">+84 28 3822 8888 | quotes@apexglobal.vn</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Meridian Pacific Holdings (Vietnam) JSC</w:t>
            </w:r>
          </w:p>
        </w:tc>
      </w:tr>
      <w:tr>
        <w:tc>
          <w:tcPr/>
          <w:p>
            <w:pPr>
              <w:pStyle w:val="Compact"/>
              <w:jc w:val="left"/>
            </w:pPr>
            <w:r>
              <w:rPr>
                <w:bCs/>
                <w:b/>
              </w:rPr>
              <w:t xml:space="preserve">Client Address:</w:t>
            </w:r>
          </w:p>
        </w:tc>
        <w:tc>
          <w:tcPr/>
          <w:p>
            <w:pPr>
              <w:pStyle w:val="Compact"/>
              <w:jc w:val="left"/>
            </w:pPr>
            <w:r>
              <w:t xml:space="preserve">Level 18, Landmark 81, 720A Điện Biên Phủ, Ward 22, Bình Thạnh District, Vietnam Ho Chi Minh City</w:t>
            </w:r>
          </w:p>
        </w:tc>
      </w:tr>
      <w:tr>
        <w:tc>
          <w:tcPr/>
          <w:p>
            <w:pPr>
              <w:pStyle w:val="Compact"/>
              <w:jc w:val="left"/>
            </w:pPr>
            <w:r>
              <w:rPr>
                <w:bCs/>
                <w:b/>
              </w:rPr>
              <w:t xml:space="preserve">Point of Contact:</w:t>
            </w:r>
          </w:p>
        </w:tc>
        <w:tc>
          <w:tcPr/>
          <w:p>
            <w:pPr>
              <w:pStyle w:val="Compact"/>
              <w:jc w:val="left"/>
            </w:pPr>
            <w:r>
              <w:t xml:space="preserve">Mr. Trần Văn Hùng – Head of Finance &amp; Strategy</w:t>
            </w:r>
          </w:p>
        </w:tc>
      </w:tr>
      <w:tr>
        <w:tc>
          <w:tcPr/>
          <w:p>
            <w:pPr>
              <w:pStyle w:val="Compact"/>
              <w:jc w:val="left"/>
            </w:pPr>
            <w:r>
              <w:rPr>
                <w:bCs/>
                <w:b/>
              </w:rPr>
              <w:t xml:space="preserve">Engagement Reference:</w:t>
            </w:r>
          </w:p>
        </w:tc>
        <w:tc>
          <w:tcPr/>
          <w:p>
            <w:pPr>
              <w:pStyle w:val="Compact"/>
              <w:jc w:val="left"/>
            </w:pPr>
            <w:r>
              <w:t xml:space="preserve">RFQ-2025-0318 – Financial Analyst Recruitment &amp; Advisory</w:t>
            </w:r>
          </w:p>
        </w:tc>
      </w:tr>
    </w:tbl>
    <w:bookmarkEnd w:id="21"/>
    <w:bookmarkStart w:id="22" w:name="Xc71ca9f107dc19ad1a35be8656fe3f8577b2b82"/>
    <w:p>
      <w:pPr>
        <w:pStyle w:val="Heading2"/>
      </w:pPr>
      <w:r>
        <w:t xml:space="preserve">2. Scope of Services – Financial Analyst Engagement</w:t>
      </w:r>
    </w:p>
    <w:p>
      <w:pPr>
        <w:pStyle w:val="FirstParagraph"/>
      </w:pPr>
      <w:r>
        <w:t xml:space="preserve">This</w:t>
      </w:r>
      <w:r>
        <w:t xml:space="preserve"> </w:t>
      </w:r>
      <w:r>
        <w:t xml:space="preserve">Quotation Estimate</w:t>
      </w:r>
      <w:r>
        <w:t xml:space="preserve"> </w:t>
      </w:r>
      <w:r>
        <w:t xml:space="preserve">outlines the comprehensive professional services to be delivered by a qualified</w:t>
      </w:r>
      <w:r>
        <w:t xml:space="preserve"> </w:t>
      </w:r>
      <w:r>
        <w:t xml:space="preserve">Financial Analyst</w:t>
      </w:r>
      <w:r>
        <w:t xml:space="preserve"> </w:t>
      </w:r>
      <w:r>
        <w:t xml:space="preserve">engaged on behalf of the Client for a twelve-month period. The</w:t>
      </w:r>
      <w:r>
        <w:t xml:space="preserve"> </w:t>
      </w:r>
      <w:r>
        <w:t xml:space="preserve">Financial Analyst</w:t>
      </w:r>
      <w:r>
        <w:t xml:space="preserve"> </w:t>
      </w:r>
      <w:r>
        <w:t xml:space="preserve">will be physically based and operational in</w:t>
      </w:r>
      <w:r>
        <w:t xml:space="preserve"> </w:t>
      </w:r>
      <w:r>
        <w:t xml:space="preserve">Vietnam Ho Chi Minh City</w:t>
      </w:r>
      <w:r>
        <w:t xml:space="preserve">, providing on-site support to the Client's finance, investment, and strategic planning departments. The scope encompasses the following deliverables:</w:t>
      </w:r>
    </w:p>
    <w:p>
      <w:pPr>
        <w:numPr>
          <w:ilvl w:val="0"/>
          <w:numId w:val="1001"/>
        </w:numPr>
        <w:pStyle w:val="Compact"/>
      </w:pPr>
      <w:r>
        <w:t xml:space="preserve">Monthly and quarterly financial performance analysis, variance reporting, and budget forecasting tailored to the Vietnamese market environment and applicable regulations of Vietnam Ho Chi Minh City.</w:t>
      </w:r>
    </w:p>
    <w:p>
      <w:pPr>
        <w:numPr>
          <w:ilvl w:val="0"/>
          <w:numId w:val="1001"/>
        </w:numPr>
        <w:pStyle w:val="Compact"/>
      </w:pPr>
      <w:r>
        <w:t xml:space="preserve">Development and maintenance of financial models for capital expenditure planning, return-on-investment assessments, and scenario-based projections.</w:t>
      </w:r>
    </w:p>
    <w:p>
      <w:pPr>
        <w:numPr>
          <w:ilvl w:val="0"/>
          <w:numId w:val="1001"/>
        </w:numPr>
        <w:pStyle w:val="Compact"/>
      </w:pPr>
      <w:r>
        <w:t xml:space="preserve">Preparation of board-level presentations, investor reports, and regulatory filings in compliance with the Accounting Law of Vietnam and standards set by the State Bank of Vietnam.</w:t>
      </w:r>
    </w:p>
    <w:p>
      <w:pPr>
        <w:numPr>
          <w:ilvl w:val="0"/>
          <w:numId w:val="1001"/>
        </w:numPr>
        <w:pStyle w:val="Compact"/>
      </w:pPr>
      <w:r>
        <w:t xml:space="preserve">Ad-hoc financial research and competitive benchmarking within the Southeast Asian market, with particular focus on the economic landscape of Vietnam Ho Chi Minh City.</w:t>
      </w:r>
    </w:p>
    <w:p>
      <w:pPr>
        <w:numPr>
          <w:ilvl w:val="0"/>
          <w:numId w:val="1001"/>
        </w:numPr>
        <w:pStyle w:val="Compact"/>
      </w:pPr>
      <w:r>
        <w:t xml:space="preserve">Collaboration with internal audit, tax, and legal teams to ensure full regulatory compliance and risk mitigation.</w:t>
      </w:r>
    </w:p>
    <w:p>
      <w:pPr>
        <w:numPr>
          <w:ilvl w:val="0"/>
          <w:numId w:val="1001"/>
        </w:numPr>
        <w:pStyle w:val="Compact"/>
      </w:pPr>
      <w:r>
        <w:t xml:space="preserve">Monthly progress reporting to the Client's senior management, including KPI dashboards and actionable strategic recommendations.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Financial Analyst – Monthly Professional Fee (on-site, Vietnam Ho Chi Minh City)</w:t>
            </w:r>
          </w:p>
        </w:tc>
        <w:tc>
          <w:tcPr/>
          <w:p>
            <w:pPr>
              <w:pStyle w:val="Compact"/>
              <w:jc w:val="left"/>
            </w:pPr>
            <w:r>
              <w:t xml:space="preserve">12 months</w:t>
            </w:r>
          </w:p>
        </w:tc>
        <w:tc>
          <w:tcPr/>
          <w:p>
            <w:pPr>
              <w:pStyle w:val="Compact"/>
              <w:jc w:val="left"/>
            </w:pPr>
            <w:r>
              <w:t xml:space="preserve">$4,800 / month</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Financial Modeling &amp; Forecasting Setup (one-time project)</w:t>
            </w:r>
          </w:p>
        </w:tc>
        <w:tc>
          <w:tcPr/>
          <w:p>
            <w:pPr>
              <w:pStyle w:val="Compact"/>
              <w:jc w:val="left"/>
            </w:pPr>
            <w:r>
              <w:t xml:space="preserve">1 month</w:t>
            </w:r>
          </w:p>
        </w:tc>
        <w:tc>
          <w:tcPr/>
          <w:p>
            <w:pPr>
              <w:pStyle w:val="Compact"/>
              <w:jc w:val="left"/>
            </w:pPr>
            <w:r>
              <w:t xml:space="preserve">$6,500</w:t>
            </w:r>
          </w:p>
        </w:tc>
        <w:tc>
          <w:tcPr/>
          <w:p>
            <w:pPr>
              <w:pStyle w:val="Compact"/>
              <w:jc w:val="left"/>
            </w:pPr>
            <w:r>
              <w:t xml:space="preserve">$6,500.00</w:t>
            </w:r>
          </w:p>
        </w:tc>
      </w:tr>
      <w:tr>
        <w:tc>
          <w:tcPr/>
          <w:p>
            <w:pPr>
              <w:pStyle w:val="Compact"/>
              <w:jc w:val="left"/>
            </w:pPr>
            <w:r>
              <w:t xml:space="preserve">3</w:t>
            </w:r>
          </w:p>
        </w:tc>
        <w:tc>
          <w:tcPr/>
          <w:p>
            <w:pPr>
              <w:pStyle w:val="Compact"/>
              <w:jc w:val="left"/>
            </w:pPr>
            <w:r>
              <w:t xml:space="preserve">Regulatory Compliance Advisory (Vietnamese GAAP, IFRS alignment)</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Board &amp; Investor Reporting Package (quarterly)</w:t>
            </w:r>
          </w:p>
        </w:tc>
        <w:tc>
          <w:tcPr/>
          <w:p>
            <w:pPr>
              <w:pStyle w:val="Compact"/>
              <w:jc w:val="left"/>
            </w:pPr>
            <w:r>
              <w:t xml:space="preserve">4 quarters</w:t>
            </w:r>
          </w:p>
        </w:tc>
        <w:tc>
          <w:tcPr/>
          <w:p>
            <w:pPr>
              <w:pStyle w:val="Compact"/>
              <w:jc w:val="left"/>
            </w:pPr>
            <w:r>
              <w:t xml:space="preserve">$2,800 / quarter</w:t>
            </w:r>
          </w:p>
        </w:tc>
        <w:tc>
          <w:tcPr/>
          <w:p>
            <w:pPr>
              <w:pStyle w:val="Compact"/>
              <w:jc w:val="left"/>
            </w:pPr>
            <w:r>
              <w:t xml:space="preserve">$11,200.00</w:t>
            </w:r>
          </w:p>
        </w:tc>
      </w:tr>
      <w:tr>
        <w:tc>
          <w:tcPr/>
          <w:p>
            <w:pPr>
              <w:pStyle w:val="Compact"/>
              <w:jc w:val="left"/>
            </w:pPr>
            <w:r>
              <w:t xml:space="preserve">5</w:t>
            </w:r>
          </w:p>
        </w:tc>
        <w:tc>
          <w:tcPr/>
          <w:p>
            <w:pPr>
              <w:pStyle w:val="Compact"/>
              <w:jc w:val="left"/>
            </w:pPr>
            <w:r>
              <w:t xml:space="preserve">Market Research &amp; Competitive Analysis (Vietnam Ho Chi Minh City focus)</w:t>
            </w:r>
          </w:p>
        </w:tc>
        <w:tc>
          <w:tcPr/>
          <w:p>
            <w:pPr>
              <w:pStyle w:val="Compact"/>
              <w:jc w:val="left"/>
            </w:pPr>
            <w:r>
              <w:t xml:space="preserve">12 months</w:t>
            </w:r>
          </w:p>
        </w:tc>
        <w:tc>
          <w:tcPr/>
          <w:p>
            <w:pPr>
              <w:pStyle w:val="Compact"/>
              <w:jc w:val="left"/>
            </w:pPr>
            <w:r>
              <w:t xml:space="preserve">$950 / month</w:t>
            </w:r>
          </w:p>
        </w:tc>
        <w:tc>
          <w:tcPr/>
          <w:p>
            <w:pPr>
              <w:pStyle w:val="Compact"/>
              <w:jc w:val="left"/>
            </w:pPr>
            <w:r>
              <w:t xml:space="preserve">$11,400.00</w:t>
            </w:r>
          </w:p>
        </w:tc>
      </w:tr>
      <w:tr>
        <w:tc>
          <w:tcPr/>
          <w:p>
            <w:pPr>
              <w:pStyle w:val="Compact"/>
              <w:jc w:val="left"/>
            </w:pPr>
            <w:r>
              <w:t xml:space="preserve">6</w:t>
            </w:r>
          </w:p>
        </w:tc>
        <w:tc>
          <w:tcPr/>
          <w:p>
            <w:pPr>
              <w:pStyle w:val="Compact"/>
              <w:jc w:val="left"/>
            </w:pPr>
            <w:r>
              <w:t xml:space="preserve">Onboarding, Visa &amp; Work Permit Administration (Vietnam Ho Chi Minh City)</w:t>
            </w:r>
          </w:p>
        </w:tc>
        <w:tc>
          <w:tcPr/>
          <w:p>
            <w:pPr>
              <w:pStyle w:val="Compact"/>
              <w:jc w:val="left"/>
            </w:pPr>
            <w:r>
              <w:t xml:space="preserve">One-time</w:t>
            </w:r>
          </w:p>
        </w:tc>
        <w:tc>
          <w:tcPr/>
          <w:p>
            <w:pPr>
              <w:pStyle w:val="Compact"/>
              <w:jc w:val="left"/>
            </w:pPr>
            <w:r>
              <w:t xml:space="preserve">$3,200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Software &amp; Tool Licensing (Bloomberg Terminal, SAP Analytics, Power BI)</w:t>
            </w:r>
          </w:p>
        </w:tc>
        <w:tc>
          <w:tcPr/>
          <w:p>
            <w:pPr>
              <w:pStyle w:val="Compact"/>
              <w:jc w:val="left"/>
            </w:pPr>
            <w:r>
              <w:t xml:space="preserve">12 months</w:t>
            </w:r>
          </w:p>
        </w:tc>
        <w:tc>
          <w:tcPr/>
          <w:p>
            <w:pPr>
              <w:pStyle w:val="Compact"/>
              <w:jc w:val="left"/>
            </w:pPr>
            <w:r>
              <w:t xml:space="preserve">$1,100 / month</w:t>
            </w:r>
          </w:p>
        </w:tc>
        <w:tc>
          <w:tcPr/>
          <w:p>
            <w:pPr>
              <w:pStyle w:val="Compact"/>
              <w:jc w:val="left"/>
            </w:pPr>
            <w:r>
              <w:t xml:space="preserve">$13,200.00</w:t>
            </w:r>
          </w:p>
        </w:tc>
      </w:tr>
      <w:tr>
        <w:tc>
          <w:tcPr/>
          <w:p>
            <w:pPr>
              <w:pStyle w:val="Compact"/>
              <w:jc w:val="left"/>
            </w:pPr>
            <w:r>
              <w:t xml:space="preserve">8</w:t>
            </w:r>
          </w:p>
        </w:tc>
        <w:tc>
          <w:tcPr/>
          <w:p>
            <w:pPr>
              <w:pStyle w:val="Compact"/>
              <w:jc w:val="left"/>
            </w:pPr>
            <w:r>
              <w:t xml:space="preserve">Project Management &amp; Coordination Overhead</w:t>
            </w:r>
          </w:p>
        </w:tc>
        <w:tc>
          <w:tcPr/>
          <w:p>
            <w:pPr>
              <w:pStyle w:val="Compact"/>
              <w:jc w:val="left"/>
            </w:pPr>
            <w:r>
              <w:t xml:space="preserve">12 months</w:t>
            </w:r>
          </w:p>
        </w:tc>
        <w:tc>
          <w:tcPr/>
          <w:p>
            <w:pPr>
              <w:pStyle w:val="Compact"/>
              <w:jc w:val="left"/>
            </w:pPr>
            <w:r>
              <w:t xml:space="preserve">$750 / month</w:t>
            </w:r>
          </w:p>
        </w:tc>
        <w:tc>
          <w:tcPr/>
          <w:p>
            <w:pPr>
              <w:pStyle w:val="Compact"/>
              <w:jc w:val="left"/>
            </w:pPr>
            <w:r>
              <w:t xml:space="preserve">$9,000.00</w:t>
            </w:r>
          </w:p>
        </w:tc>
      </w:tr>
      <w:tr>
        <w:tc>
          <w:tcPr>
            <w:gridSpan w:val="4"/>
          </w:tcPr>
          <w:p>
            <w:pPr>
              <w:pStyle w:val="Compact"/>
              <w:jc w:val="right"/>
            </w:pPr>
            <w:r>
              <w:t xml:space="preserve">Subtotal (USD)</w:t>
            </w:r>
          </w:p>
        </w:tc>
        <w:tc>
          <w:tcPr/>
          <w:p>
            <w:pPr>
              <w:pStyle w:val="Compact"/>
              <w:jc w:val="left"/>
            </w:pPr>
            <w:r>
              <w:t xml:space="preserve">$126,500.00</w:t>
            </w:r>
          </w:p>
        </w:tc>
      </w:tr>
      <w:tr>
        <w:tc>
          <w:tcPr>
            <w:gridSpan w:val="4"/>
          </w:tcPr>
          <w:p>
            <w:pPr>
              <w:pStyle w:val="Compact"/>
              <w:jc w:val="right"/>
            </w:pPr>
            <w:r>
              <w:t xml:space="preserve">Applicable VAT (8% – Vietnam standard rate)</w:t>
            </w:r>
          </w:p>
        </w:tc>
        <w:tc>
          <w:tcPr/>
          <w:p>
            <w:pPr>
              <w:pStyle w:val="Compact"/>
              <w:jc w:val="left"/>
            </w:pPr>
            <w:r>
              <w:t xml:space="preserve">$10,120.00</w:t>
            </w:r>
          </w:p>
        </w:tc>
      </w:tr>
      <w:tr>
        <w:tc>
          <w:tcPr>
            <w:gridSpan w:val="4"/>
          </w:tcPr>
          <w:p>
            <w:pPr>
              <w:pStyle w:val="Compact"/>
              <w:jc w:val="right"/>
            </w:pPr>
            <w:r>
              <w:t xml:space="preserve">GRAND TOTAL (USD)</w:t>
            </w:r>
          </w:p>
        </w:tc>
        <w:tc>
          <w:tcPr/>
          <w:p>
            <w:pPr>
              <w:pStyle w:val="Compact"/>
              <w:jc w:val="left"/>
            </w:pPr>
            <w:r>
              <w:t xml:space="preserve">$136,620.00</w:t>
            </w:r>
          </w:p>
        </w:tc>
      </w:tr>
    </w:tbl>
    <w:p>
      <w:pPr>
        <w:pStyle w:val="BodyText"/>
      </w:pPr>
      <w:r>
        <w:rPr>
          <w:bCs/>
          <w:b/>
        </w:rPr>
        <w:t xml:space="preserve">Note:</w:t>
      </w:r>
      <w:r>
        <w:t xml:space="preserve"> </w:t>
      </w:r>
      <w:r>
        <w:t xml:space="preserve">All rates quoted in this Quotation Estimate are in United States Dollars (USD). Payment may be made in USD or Vietnamese Dong (VND) at the prevailing State Bank of Vietnam exchange rate on the date of invoice. The Financial Analyst will be subject to Vietnamese labor law and personal income tax obligations as a resident worker in Vietnam Ho Chi Minh City.</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&amp; Onboarding</w:t>
            </w:r>
          </w:p>
        </w:tc>
        <w:tc>
          <w:tcPr/>
          <w:p>
            <w:pPr>
              <w:pStyle w:val="Compact"/>
              <w:jc w:val="left"/>
            </w:pPr>
            <w:r>
              <w:t xml:space="preserve">20%</w:t>
            </w:r>
          </w:p>
        </w:tc>
        <w:tc>
          <w:tcPr/>
          <w:p>
            <w:pPr>
              <w:pStyle w:val="Compact"/>
              <w:jc w:val="left"/>
            </w:pPr>
            <w:r>
              <w:t xml:space="preserve">$27,324.00</w:t>
            </w:r>
          </w:p>
        </w:tc>
        <w:tc>
          <w:tcPr/>
          <w:p>
            <w:pPr>
              <w:pStyle w:val="Compact"/>
              <w:jc w:val="left"/>
            </w:pPr>
            <w:r>
              <w:t xml:space="preserve">Within 10 business days of signing</w:t>
            </w:r>
          </w:p>
        </w:tc>
      </w:tr>
      <w:tr>
        <w:tc>
          <w:tcPr/>
          <w:p>
            <w:pPr>
              <w:pStyle w:val="Compact"/>
              <w:jc w:val="left"/>
            </w:pPr>
            <w:r>
              <w:t xml:space="preserve">Monthly Retainer (Financial Analyst services)</w:t>
            </w:r>
          </w:p>
        </w:tc>
        <w:tc>
          <w:tcPr/>
          <w:p>
            <w:pPr>
              <w:pStyle w:val="Compact"/>
              <w:jc w:val="left"/>
            </w:pPr>
            <w:r>
              <w:t xml:space="preserve">60% (paid monthly)</w:t>
            </w:r>
          </w:p>
        </w:tc>
        <w:tc>
          <w:tcPr/>
          <w:p>
            <w:pPr>
              <w:pStyle w:val="Compact"/>
              <w:jc w:val="left"/>
            </w:pPr>
            <w:r>
              <w:t xml:space="preserve">$6,831.00 / month</w:t>
            </w:r>
          </w:p>
        </w:tc>
        <w:tc>
          <w:tcPr/>
          <w:p>
            <w:pPr>
              <w:pStyle w:val="Compact"/>
              <w:jc w:val="left"/>
            </w:pPr>
            <w:r>
              <w:t xml:space="preserve">5th of each following month</w:t>
            </w:r>
          </w:p>
        </w:tc>
      </w:tr>
      <w:tr>
        <w:tc>
          <w:tcPr/>
          <w:p>
            <w:pPr>
              <w:pStyle w:val="Compact"/>
              <w:jc w:val="left"/>
            </w:pPr>
            <w:r>
              <w:t xml:space="preserve">Final Deliverable &amp; Offboarding</w:t>
            </w:r>
          </w:p>
        </w:tc>
        <w:tc>
          <w:tcPr/>
          <w:p>
            <w:pPr>
              <w:pStyle w:val="Compact"/>
              <w:jc w:val="left"/>
            </w:pPr>
            <w:r>
              <w:t xml:space="preserve">20%</w:t>
            </w:r>
          </w:p>
        </w:tc>
        <w:tc>
          <w:tcPr/>
          <w:p>
            <w:pPr>
              <w:pStyle w:val="Compact"/>
              <w:jc w:val="left"/>
            </w:pPr>
            <w:r>
              <w:t xml:space="preserve">$27,324.00</w:t>
            </w:r>
          </w:p>
        </w:tc>
        <w:tc>
          <w:tcPr/>
          <w:p>
            <w:pPr>
              <w:pStyle w:val="Compact"/>
              <w:jc w:val="left"/>
            </w:pPr>
            <w:r>
              <w:t xml:space="preserve">Within 15 days of contract completion</w:t>
            </w:r>
          </w:p>
        </w:tc>
      </w:tr>
    </w:tbl>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thirty (30) calendar days from the date of issue. After the expiry date, all rates and terms are subject to revision without prior notice.</w:t>
      </w:r>
    </w:p>
    <w:p>
      <w:pPr>
        <w:numPr>
          <w:ilvl w:val="0"/>
          <w:numId w:val="1002"/>
        </w:numPr>
        <w:pStyle w:val="Compact"/>
      </w:pPr>
      <w:r>
        <w:t xml:space="preserve">The engagement of the Financial Analyst is governed by the laws of the Socialist Republic of Vietnam, with jurisdiction in the People's Court of District 1, Vietnam Ho Chi Minh City.</w:t>
      </w:r>
    </w:p>
    <w:p>
      <w:pPr>
        <w:numPr>
          <w:ilvl w:val="0"/>
          <w:numId w:val="1002"/>
        </w:numPr>
        <w:pStyle w:val="Compact"/>
      </w:pPr>
      <w:r>
        <w:t xml:space="preserve">Apex Global Talent Solutions Co., Ltd. shall bear full responsibility for the professional competency, work permit, and visa status of the Financial Analyst while operating in Vietnam Ho Chi Minh City.</w:t>
      </w:r>
    </w:p>
    <w:p>
      <w:pPr>
        <w:numPr>
          <w:ilvl w:val="0"/>
          <w:numId w:val="1002"/>
        </w:numPr>
        <w:pStyle w:val="Compact"/>
      </w:pPr>
      <w:r>
        <w:t xml:space="preserve">The Client agrees to provide a dedicated workspace, necessary IT infrastructure, and timely access to all financial systems and data required for the Financial Analyst to perform duties effectively.</w:t>
      </w:r>
    </w:p>
    <w:p>
      <w:pPr>
        <w:numPr>
          <w:ilvl w:val="0"/>
          <w:numId w:val="1002"/>
        </w:numPr>
        <w:pStyle w:val="Compact"/>
      </w:pPr>
      <w:r>
        <w:t xml:space="preserve">Confidentiality: All financial data, proprietary models, and strategic information handled by the Financial Analyst shall be treated as strictly confidential. A mutual Non-Disclosure Agreement (NDA) shall be executed prior to commencement.</w:t>
      </w:r>
    </w:p>
    <w:p>
      <w:pPr>
        <w:numPr>
          <w:ilvl w:val="0"/>
          <w:numId w:val="1002"/>
        </w:numPr>
        <w:pStyle w:val="Compact"/>
      </w:pPr>
      <w:r>
        <w:t xml:space="preserve">Termination: Either party may terminate the engagement with thirty (30) days' written notice. In the event of early termination, the Client shall be liable for all services rendered up to the termination date plus a 10% administrative fee.</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government policy changes in Vietnam Ho Chi Minh City, or pandemics.</w:t>
      </w:r>
    </w:p>
    <w:p>
      <w:pPr>
        <w:numPr>
          <w:ilvl w:val="0"/>
          <w:numId w:val="1002"/>
        </w:numPr>
        <w:pStyle w:val="Compact"/>
      </w:pPr>
      <w:r>
        <w:t xml:space="preserve">Any disputes arising from this Quotation Estimate or the subsequent contract shall first be resolved through good-faith negotiation. If unresolved within thirty (30) days, the matter shall be submitted to arbitration under the Vietnam International Arbitration Centre (VIAC) in Vietnam Ho Chi Minh City.</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all terms, conditions, and pricing outlined in this Quotation Estimate for the engagement of a Financial Analyst in Vietnam Ho Chi Minh City. This signature constitutes a binding agreement to proceed with the services as described herein.</w:t>
      </w:r>
    </w:p>
    <w:p>
      <w:pPr>
        <w:pStyle w:val="BodyText"/>
      </w:pPr>
      <w:r>
        <w:rPr>
          <w:bCs/>
          <w:b/>
        </w:rPr>
        <w:t xml:space="preserve">For Apex Global Talent Solutions Co., Ltd.</w:t>
      </w:r>
      <w:r>
        <w:br/>
      </w:r>
      <w:r>
        <w:t xml:space="preserve">Name: Nguyễn Thị Lan</w:t>
      </w:r>
      <w:r>
        <w:br/>
      </w:r>
      <w:r>
        <w:t xml:space="preserve">Title: Director of Professional Services</w:t>
      </w:r>
      <w:r>
        <w:br/>
      </w:r>
      <w:r>
        <w:t xml:space="preserve">Date: _______________</w:t>
      </w:r>
    </w:p>
    <w:p>
      <w:pPr>
        <w:pStyle w:val="BodyText"/>
      </w:pPr>
      <w:r>
        <w:rPr>
          <w:bCs/>
          <w:b/>
        </w:rPr>
        <w:t xml:space="preserve">For Meridian Pacific Holdings (Vietnam) JSC</w:t>
      </w:r>
      <w:r>
        <w:br/>
      </w:r>
      <w:r>
        <w:t xml:space="preserve">Name: Trần Văn Hùng</w:t>
      </w:r>
      <w:r>
        <w:br/>
      </w:r>
      <w:r>
        <w:t xml:space="preserve">Title: Head of Finance &amp; Strategy</w:t>
      </w:r>
      <w:r>
        <w:br/>
      </w:r>
      <w:r>
        <w:t xml:space="preserve">Date: _______________</w:t>
      </w:r>
    </w:p>
    <w:p>
      <w:pPr>
        <w:pStyle w:val="BodyText"/>
      </w:pPr>
      <w:r>
        <w:t xml:space="preserve">Apex Global Talent Solutions Co., Ltd. | 25th Floor, Bitexco Financial Tower, 2 Hải Triều St., District 1, Vietnam Ho Chi Minh City</w:t>
      </w:r>
      <w:r>
        <w:br/>
      </w:r>
      <w:r>
        <w:t xml:space="preserve">Tax Code: 0312345678 | Tel: +84 28 3822 8888 | Email: quotes@apexglobal.vn</w:t>
      </w:r>
      <w:r>
        <w:br/>
      </w:r>
      <w:r>
        <w:t xml:space="preserve">This Quotation Estimate document is generated electronically and is valid without a physical seal.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Vietnam Ho Chi Minh City</dc:title>
  <dc:creator/>
  <dc:language>en</dc:language>
  <cp:keywords/>
  <dcterms:created xsi:type="dcterms:W3CDTF">2026-10-10T01:24:38Z</dcterms:created>
  <dcterms:modified xsi:type="dcterms:W3CDTF">2026-10-10T01:24:38Z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