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rotección-integral-del-fuego-s.a.s."/>
    <w:p>
      <w:pPr>
        <w:pStyle w:val="Heading1"/>
      </w:pPr>
      <w:r>
        <w:t xml:space="preserve">Protección Integral del Fuego S.A.S.</w:t>
      </w:r>
    </w:p>
    <w:p>
      <w:pPr>
        <w:pStyle w:val="FirstParagraph"/>
      </w:pPr>
      <w:r>
        <w:t xml:space="preserve">Calle 45 # 12-34, Zona Rosa, Bogotá D.C., Colombia</w:t>
      </w:r>
    </w:p>
    <w:p>
      <w:pPr>
        <w:pStyle w:val="BodyText"/>
      </w:pPr>
      <w:r>
        <w:t xml:space="preserve">Tel: +57 (601) 555 7890 | Email: cotizaciones@proteccionfuego.co</w:t>
      </w:r>
    </w:p>
    <w:p>
      <w:pPr>
        <w:pStyle w:val="BodyText"/>
      </w:pPr>
      <w:r>
        <w:t xml:space="preserve">NIT: 901.234.567-8 | Registro Mercantil: Cámara de Comercio de Bogotá</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QTE-BOG-2025-0417</w:t>
      </w:r>
    </w:p>
    <w:p>
      <w:pPr>
        <w:pStyle w:val="BodyText"/>
      </w:pPr>
      <w:r>
        <w:rPr>
          <w:bCs/>
          <w:b/>
        </w:rPr>
        <w:t xml:space="preserve">Date of Issue:</w:t>
      </w:r>
      <w:r>
        <w:t xml:space="preserve"> </w:t>
      </w:r>
      <w:r>
        <w:t xml:space="preserve">June 15, 2025</w:t>
      </w:r>
    </w:p>
    <w:p>
      <w:pPr>
        <w:pStyle w:val="BodyText"/>
      </w:pPr>
      <w:r>
        <w:rPr>
          <w:bCs/>
          <w:b/>
        </w:rPr>
        <w:t xml:space="preserve">Validity Period:</w:t>
      </w:r>
      <w:r>
        <w:t xml:space="preserve"> </w:t>
      </w:r>
      <w:r>
        <w:t xml:space="preserve">30 calendar days from issue date</w:t>
      </w:r>
    </w:p>
    <w:p>
      <w:pPr>
        <w:pStyle w:val="BodyText"/>
      </w:pPr>
      <w:r>
        <w:rPr>
          <w:bCs/>
          <w:b/>
        </w:rPr>
        <w:t xml:space="preserve">Service Location:</w:t>
      </w:r>
      <w:r>
        <w:t xml:space="preserve"> </w:t>
      </w:r>
      <w:r>
        <w:t xml:space="preserve">Colombia Bogotá, Cundinamarca</w:t>
      </w:r>
    </w:p>
    <w:p>
      <w:pPr>
        <w:pStyle w:val="BodyText"/>
      </w:pPr>
      <w:r>
        <w:rPr>
          <w:bCs/>
          <w:b/>
        </w:rPr>
        <w:t xml:space="preserve">Currency:</w:t>
      </w:r>
      <w:r>
        <w:t xml:space="preserve"> </w:t>
      </w:r>
      <w:r>
        <w:t xml:space="preserve">Colombian Peso (COP)</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Corporación Edificios del Centro S.A.</w:t>
      </w:r>
    </w:p>
    <w:p>
      <w:pPr>
        <w:pStyle w:val="BodyText"/>
      </w:pPr>
      <w:r>
        <w:rPr>
          <w:bCs/>
          <w:b/>
        </w:rPr>
        <w:t xml:space="preserve">Address:</w:t>
      </w:r>
      <w:r>
        <w:t xml:space="preserve"> </w:t>
      </w:r>
      <w:r>
        <w:t xml:space="preserve">Av. Jiménez # 93-45, Bogotá D.C., Colombia</w:t>
      </w:r>
    </w:p>
    <w:p>
      <w:pPr>
        <w:pStyle w:val="BodyText"/>
      </w:pPr>
      <w:r>
        <w:rPr>
          <w:bCs/>
          <w:b/>
        </w:rPr>
        <w:t xml:space="preserve">Contact Person:</w:t>
      </w:r>
      <w:r>
        <w:t xml:space="preserve"> </w:t>
      </w:r>
      <w:r>
        <w:t xml:space="preserve">Ing. María Fernanda Restrepo</w:t>
      </w:r>
    </w:p>
    <w:p>
      <w:pPr>
        <w:pStyle w:val="BodyText"/>
      </w:pPr>
      <w:r>
        <w:rPr>
          <w:bCs/>
          <w:b/>
        </w:rPr>
        <w:t xml:space="preserve">Email:</w:t>
      </w:r>
      <w:r>
        <w:t xml:space="preserve"> </w:t>
      </w:r>
      <w:r>
        <w:t xml:space="preserve">mrestrepo@edificioscentro.co</w:t>
      </w:r>
    </w:p>
    <w:p>
      <w:pPr>
        <w:pStyle w:val="BodyText"/>
      </w:pPr>
      <w:r>
        <w:rPr>
          <w:bCs/>
          <w:b/>
        </w:rPr>
        <w:t xml:space="preserve">NIT:</w:t>
      </w:r>
      <w:r>
        <w:t xml:space="preserve"> </w:t>
      </w:r>
      <w:r>
        <w:t xml:space="preserve">830.456.789-1</w:t>
      </w:r>
    </w:p>
    <w:bookmarkEnd w:id="22"/>
    <w:p>
      <w:pPr>
        <w:pStyle w:val="BodyText"/>
      </w:pPr>
      <w:r>
        <w:t xml:space="preserve">This</w:t>
      </w:r>
      <w:r>
        <w:t xml:space="preserve"> </w:t>
      </w:r>
      <w:r>
        <w:t xml:space="preserve">Quotation Estimate</w:t>
      </w:r>
      <w:r>
        <w:t xml:space="preserve"> </w:t>
      </w:r>
      <w:r>
        <w:t xml:space="preserve">is issued by Protección Integral del Fuego S.A.S. to provide comprehensive</w:t>
      </w:r>
      <w:r>
        <w:t xml:space="preserve"> </w:t>
      </w:r>
      <w:r>
        <w:t xml:space="preserve">Firefighter</w:t>
      </w:r>
      <w:r>
        <w:t xml:space="preserve"> </w:t>
      </w:r>
      <w:r>
        <w:t xml:space="preserve">services, training programs, and emergency response infrastructure for the client's commercial and residential properties located in</w:t>
      </w:r>
      <w:r>
        <w:t xml:space="preserve"> </w:t>
      </w:r>
      <w:r>
        <w:t xml:space="preserve">Colombia Bogotá</w:t>
      </w:r>
      <w:r>
        <w:t xml:space="preserve">. This document outlines the scope of work, itemized costs, delivery timelines, and contractual terms governing the engagement. All pricing reflects current market conditions in the Bogotá metropolitan area and complies with the regulations established by the Cuerpo de Bomberos de Bogotá and the National Fire Safety Standards (NTP 339.060 and NTC 4595).</w:t>
      </w:r>
    </w:p>
    <w:p>
      <w:pPr>
        <w:pStyle w:val="BodyText"/>
      </w:pPr>
      <w:r>
        <w:t xml:space="preserve">Scope of Services – Firefighter Program in Colombia Bogotá</w:t>
      </w:r>
    </w:p>
    <w:p>
      <w:pPr>
        <w:pStyle w:val="BodyText"/>
      </w:pPr>
      <w:r>
        <w:t xml:space="preserve">The proposed</w:t>
      </w:r>
      <w:r>
        <w:t xml:space="preserve"> </w:t>
      </w:r>
      <w:r>
        <w:t xml:space="preserve">Firefighter</w:t>
      </w:r>
      <w:r>
        <w:t xml:space="preserve"> </w:t>
      </w:r>
      <w:r>
        <w:t xml:space="preserve">program encompasses the following deliverables tailored to the specific risk profile of the client's portfolio in</w:t>
      </w:r>
      <w:r>
        <w:t xml:space="preserve"> </w:t>
      </w:r>
      <w:r>
        <w:t xml:space="preserve">Colombia Bogotá</w:t>
      </w:r>
      <w:r>
        <w:t xml:space="preserve">:</w:t>
      </w:r>
    </w:p>
    <w:p>
      <w:pPr>
        <w:numPr>
          <w:ilvl w:val="0"/>
          <w:numId w:val="1001"/>
        </w:numPr>
        <w:pStyle w:val="Compact"/>
      </w:pPr>
      <w:r>
        <w:t xml:space="preserve">Deployment of certified</w:t>
      </w:r>
      <w:r>
        <w:t xml:space="preserve"> </w:t>
      </w:r>
      <w:r>
        <w:t xml:space="preserve">Firefighter</w:t>
      </w:r>
      <w:r>
        <w:t xml:space="preserve"> </w:t>
      </w:r>
      <w:r>
        <w:t xml:space="preserve">personnel (minimum 12 units) for 24/7 on-site monitoring across all client properties in the Bogotá district.</w:t>
      </w:r>
    </w:p>
    <w:p>
      <w:pPr>
        <w:numPr>
          <w:ilvl w:val="0"/>
          <w:numId w:val="1001"/>
        </w:numPr>
        <w:pStyle w:val="Compact"/>
      </w:pPr>
      <w:r>
        <w:t xml:space="preserve">Conduct of quarterly</w:t>
      </w:r>
      <w:r>
        <w:t xml:space="preserve"> </w:t>
      </w:r>
      <w:r>
        <w:t xml:space="preserve">Firefighter</w:t>
      </w:r>
      <w:r>
        <w:t xml:space="preserve"> </w:t>
      </w:r>
      <w:r>
        <w:t xml:space="preserve">training workshops covering fire suppression techniques, evacuation protocols, hazardous material handling, and first-aid response in accordance with Colombian occupational health and safety regulations (Ley 297 de 2008).</w:t>
      </w:r>
    </w:p>
    <w:p>
      <w:pPr>
        <w:numPr>
          <w:ilvl w:val="0"/>
          <w:numId w:val="1001"/>
        </w:numPr>
        <w:pStyle w:val="Compact"/>
      </w:pPr>
      <w:r>
        <w:t xml:space="preserve">Installation and calibration of fire detection and suppression systems in compliance with the local fire code of</w:t>
      </w:r>
      <w:r>
        <w:t xml:space="preserve"> </w:t>
      </w:r>
      <w:r>
        <w:t xml:space="preserve">Colombia Bogotá</w:t>
      </w:r>
      <w:r>
        <w:t xml:space="preserve">.</w:t>
      </w:r>
    </w:p>
    <w:p>
      <w:pPr>
        <w:numPr>
          <w:ilvl w:val="0"/>
          <w:numId w:val="1001"/>
        </w:numPr>
        <w:pStyle w:val="Compact"/>
      </w:pPr>
      <w:r>
        <w:t xml:space="preserve">Development of a customized Emergency Response Plan (ERP) specific to the urban density and infrastructure characteristics of the Bogotá metropolitan zone.</w:t>
      </w:r>
    </w:p>
    <w:p>
      <w:pPr>
        <w:numPr>
          <w:ilvl w:val="0"/>
          <w:numId w:val="1001"/>
        </w:numPr>
        <w:pStyle w:val="Compact"/>
      </w:pPr>
      <w:r>
        <w:t xml:space="preserve">Bi-annual full-scale fire drills involving the</w:t>
      </w:r>
      <w:r>
        <w:t xml:space="preserve"> </w:t>
      </w:r>
      <w:r>
        <w:t xml:space="preserve">Firefighter</w:t>
      </w:r>
      <w:r>
        <w:t xml:space="preserve"> </w:t>
      </w:r>
      <w:r>
        <w:t xml:space="preserve">team, building occupants, and coordination with the local Cuerpo de Bomberos de Bogotá.</w:t>
      </w:r>
    </w:p>
    <w:p>
      <w:pPr>
        <w:numPr>
          <w:ilvl w:val="0"/>
          <w:numId w:val="1001"/>
        </w:numPr>
        <w:pStyle w:val="Compact"/>
      </w:pPr>
      <w:r>
        <w:t xml:space="preserve">Provision and maintenance of personal protective equipment (PPE) for all</w:t>
      </w:r>
      <w:r>
        <w:t xml:space="preserve"> </w:t>
      </w:r>
      <w:r>
        <w:t xml:space="preserve">Firefighter</w:t>
      </w:r>
      <w:r>
        <w:t xml:space="preserve"> </w:t>
      </w:r>
      <w:r>
        <w:t xml:space="preserve">personnel, including helmets, turnout gear, self-contained breathing apparatus (SCBA), and thermal imaging cameras.</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Certified Firefighter personnel – 24/7 deployment (monthly rate per firefighter)</w:t>
            </w:r>
          </w:p>
        </w:tc>
        <w:tc>
          <w:tcPr/>
          <w:p>
            <w:pPr>
              <w:pStyle w:val="Compact"/>
              <w:jc w:val="left"/>
            </w:pPr>
            <w:r>
              <w:t xml:space="preserve">12 units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Quarterly Firefighter training program (4 sessions per year, 8 hours each)</w:t>
            </w:r>
          </w:p>
        </w:tc>
        <w:tc>
          <w:tcPr/>
          <w:p>
            <w:pPr>
              <w:pStyle w:val="Compact"/>
              <w:jc w:val="left"/>
            </w:pPr>
            <w:r>
              <w:t xml:space="preserve">4 sessions</w:t>
            </w:r>
          </w:p>
        </w:tc>
        <w:tc>
          <w:tcPr/>
          <w:p>
            <w:pPr>
              <w:pStyle w:val="Compact"/>
              <w:jc w:val="left"/>
            </w:pPr>
            <w:r>
              <w:t xml:space="preserve">12,500,000</w:t>
            </w:r>
          </w:p>
        </w:tc>
        <w:tc>
          <w:tcPr/>
          <w:p>
            <w:pPr>
              <w:pStyle w:val="Compact"/>
              <w:jc w:val="left"/>
            </w:pPr>
            <w:r>
              <w:t xml:space="preserve">50,000,000</w:t>
            </w:r>
          </w:p>
        </w:tc>
      </w:tr>
      <w:tr>
        <w:tc>
          <w:tcPr/>
          <w:p>
            <w:pPr>
              <w:pStyle w:val="Compact"/>
              <w:jc w:val="left"/>
            </w:pPr>
            <w:r>
              <w:t xml:space="preserve">03</w:t>
            </w:r>
          </w:p>
        </w:tc>
        <w:tc>
          <w:tcPr/>
          <w:p>
            <w:pPr>
              <w:pStyle w:val="Compact"/>
              <w:jc w:val="left"/>
            </w:pPr>
            <w:r>
              <w:t xml:space="preserve">Fire detection and suppression system installation (per building)</w:t>
            </w:r>
          </w:p>
        </w:tc>
        <w:tc>
          <w:tcPr/>
          <w:p>
            <w:pPr>
              <w:pStyle w:val="Compact"/>
              <w:jc w:val="left"/>
            </w:pPr>
            <w:r>
              <w:t xml:space="preserve">3 buildings</w:t>
            </w:r>
          </w:p>
        </w:tc>
        <w:tc>
          <w:tcPr/>
          <w:p>
            <w:pPr>
              <w:pStyle w:val="Compact"/>
              <w:jc w:val="left"/>
            </w:pPr>
            <w:r>
              <w:t xml:space="preserve">85,000,000</w:t>
            </w:r>
          </w:p>
        </w:tc>
        <w:tc>
          <w:tcPr/>
          <w:p>
            <w:pPr>
              <w:pStyle w:val="Compact"/>
              <w:jc w:val="left"/>
            </w:pPr>
            <w:r>
              <w:t xml:space="preserve">255,000,000</w:t>
            </w:r>
          </w:p>
        </w:tc>
      </w:tr>
      <w:tr>
        <w:tc>
          <w:tcPr/>
          <w:p>
            <w:pPr>
              <w:pStyle w:val="Compact"/>
              <w:jc w:val="left"/>
            </w:pPr>
            <w:r>
              <w:t xml:space="preserve">04</w:t>
            </w:r>
          </w:p>
        </w:tc>
        <w:tc>
          <w:tcPr/>
          <w:p>
            <w:pPr>
              <w:pStyle w:val="Compact"/>
              <w:jc w:val="left"/>
            </w:pPr>
            <w:r>
              <w:t xml:space="preserve">Emergency Response Plan development and documentation</w:t>
            </w:r>
          </w:p>
        </w:tc>
        <w:tc>
          <w:tcPr/>
          <w:p>
            <w:pPr>
              <w:pStyle w:val="Compact"/>
              <w:jc w:val="left"/>
            </w:pPr>
            <w:r>
              <w:t xml:space="preserve">1 package</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05</w:t>
            </w:r>
          </w:p>
        </w:tc>
        <w:tc>
          <w:tcPr/>
          <w:p>
            <w:pPr>
              <w:pStyle w:val="Compact"/>
              <w:jc w:val="left"/>
            </w:pPr>
            <w:r>
              <w:t xml:space="preserve">Bi-annual full-scale fire drill coordination (with Cuerpo de Bomberos de Bogotá)</w:t>
            </w:r>
          </w:p>
        </w:tc>
        <w:tc>
          <w:tcPr/>
          <w:p>
            <w:pPr>
              <w:pStyle w:val="Compact"/>
              <w:jc w:val="left"/>
            </w:pPr>
            <w:r>
              <w:t xml:space="preserve">2 drills</w:t>
            </w:r>
          </w:p>
        </w:tc>
        <w:tc>
          <w:tcPr/>
          <w:p>
            <w:pPr>
              <w:pStyle w:val="Compact"/>
              <w:jc w:val="left"/>
            </w:pPr>
            <w:r>
              <w:t xml:space="preserve">9,200,000</w:t>
            </w:r>
          </w:p>
        </w:tc>
        <w:tc>
          <w:tcPr/>
          <w:p>
            <w:pPr>
              <w:pStyle w:val="Compact"/>
              <w:jc w:val="left"/>
            </w:pPr>
            <w:r>
              <w:t xml:space="preserve">18,400,000</w:t>
            </w:r>
          </w:p>
        </w:tc>
      </w:tr>
      <w:tr>
        <w:tc>
          <w:tcPr/>
          <w:p>
            <w:pPr>
              <w:pStyle w:val="Compact"/>
              <w:jc w:val="left"/>
            </w:pPr>
            <w:r>
              <w:t xml:space="preserve">06</w:t>
            </w:r>
          </w:p>
        </w:tc>
        <w:tc>
          <w:tcPr/>
          <w:p>
            <w:pPr>
              <w:pStyle w:val="Compact"/>
              <w:jc w:val="left"/>
            </w:pPr>
            <w:r>
              <w:t xml:space="preserve">Personal Protective Equipment (PPE) – complete set per firefighter</w:t>
            </w:r>
          </w:p>
        </w:tc>
        <w:tc>
          <w:tcPr/>
          <w:p>
            <w:pPr>
              <w:pStyle w:val="Compact"/>
              <w:jc w:val="left"/>
            </w:pPr>
            <w:r>
              <w:t xml:space="preserve">12 sets</w:t>
            </w:r>
          </w:p>
        </w:tc>
        <w:tc>
          <w:tcPr/>
          <w:p>
            <w:pPr>
              <w:pStyle w:val="Compact"/>
              <w:jc w:val="left"/>
            </w:pPr>
            <w:r>
              <w:t xml:space="preserve">6,300,000</w:t>
            </w:r>
          </w:p>
        </w:tc>
        <w:tc>
          <w:tcPr/>
          <w:p>
            <w:pPr>
              <w:pStyle w:val="Compact"/>
              <w:jc w:val="left"/>
            </w:pPr>
            <w:r>
              <w:t xml:space="preserve">75,600,000</w:t>
            </w:r>
          </w:p>
        </w:tc>
      </w:tr>
      <w:tr>
        <w:tc>
          <w:tcPr/>
          <w:p>
            <w:pPr>
              <w:pStyle w:val="Compact"/>
              <w:jc w:val="left"/>
            </w:pPr>
            <w:r>
              <w:t xml:space="preserve">07</w:t>
            </w:r>
          </w:p>
        </w:tc>
        <w:tc>
          <w:tcPr/>
          <w:p>
            <w:pPr>
              <w:pStyle w:val="Compact"/>
              <w:jc w:val="left"/>
            </w:pPr>
            <w:r>
              <w:t xml:space="preserve">Annual maintenance and calibration of all installed fire systems</w:t>
            </w:r>
          </w:p>
        </w:tc>
        <w:tc>
          <w:tcPr/>
          <w:p>
            <w:pPr>
              <w:pStyle w:val="Compact"/>
              <w:jc w:val="left"/>
            </w:pPr>
            <w:r>
              <w:t xml:space="preserve">1 year</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08</w:t>
            </w:r>
          </w:p>
        </w:tc>
        <w:tc>
          <w:tcPr/>
          <w:p>
            <w:pPr>
              <w:pStyle w:val="Compact"/>
              <w:jc w:val="left"/>
            </w:pPr>
            <w:r>
              <w:t xml:space="preserve">Project management, supervision, and reporting (monthly)</w:t>
            </w:r>
          </w:p>
        </w:tc>
        <w:tc>
          <w:tcPr/>
          <w:p>
            <w:pPr>
              <w:pStyle w:val="Compact"/>
              <w:jc w:val="left"/>
            </w:pPr>
            <w:r>
              <w:t xml:space="preserve">12 months</w:t>
            </w:r>
          </w:p>
        </w:tc>
        <w:tc>
          <w:tcPr/>
          <w:p>
            <w:pPr>
              <w:pStyle w:val="Compact"/>
              <w:jc w:val="left"/>
            </w:pPr>
            <w:r>
              <w:t xml:space="preserve">7,500,000</w:t>
            </w:r>
          </w:p>
        </w:tc>
        <w:tc>
          <w:tcPr/>
          <w:p>
            <w:pPr>
              <w:pStyle w:val="Compact"/>
              <w:jc w:val="left"/>
            </w:pPr>
            <w:r>
              <w:t xml:space="preserve">90,000,000</w:t>
            </w:r>
          </w:p>
        </w:tc>
      </w:tr>
      <w:tr>
        <w:tc>
          <w:tcPr>
            <w:gridSpan w:val="4"/>
          </w:tcPr>
          <w:p>
            <w:pPr>
              <w:pStyle w:val="Compact"/>
              <w:jc w:val="left"/>
            </w:pPr>
            <w:r>
              <w:t xml:space="preserve">SUBTOTAL</w:t>
            </w:r>
          </w:p>
        </w:tc>
        <w:tc>
          <w:tcPr/>
          <w:p>
            <w:pPr>
              <w:pStyle w:val="Compact"/>
              <w:jc w:val="left"/>
            </w:pPr>
            <w:r>
              <w:t xml:space="preserve">597,950,000</w:t>
            </w:r>
          </w:p>
        </w:tc>
      </w:tr>
      <w:tr>
        <w:tc>
          <w:tcPr>
            <w:gridSpan w:val="4"/>
          </w:tcPr>
          <w:p>
            <w:pPr>
              <w:pStyle w:val="Compact"/>
              <w:jc w:val="left"/>
            </w:pPr>
            <w:r>
              <w:t xml:space="preserve">VAT (IVA) 19%</w:t>
            </w:r>
          </w:p>
        </w:tc>
        <w:tc>
          <w:tcPr/>
          <w:p>
            <w:pPr>
              <w:pStyle w:val="Compact"/>
              <w:jc w:val="left"/>
            </w:pPr>
            <w:r>
              <w:t xml:space="preserve">113,610,500</w:t>
            </w:r>
          </w:p>
        </w:tc>
      </w:tr>
      <w:tr>
        <w:tc>
          <w:tcPr>
            <w:gridSpan w:val="4"/>
          </w:tcPr>
          <w:p>
            <w:pPr>
              <w:pStyle w:val="Compact"/>
              <w:jc w:val="left"/>
            </w:pPr>
            <w:r>
              <w:t xml:space="preserve">GRAND TOTAL (COP)</w:t>
            </w:r>
          </w:p>
        </w:tc>
        <w:tc>
          <w:tcPr/>
          <w:p>
            <w:pPr>
              <w:pStyle w:val="Compact"/>
              <w:jc w:val="left"/>
            </w:pPr>
            <w:r>
              <w:t xml:space="preserve">711,560,500</w:t>
            </w:r>
          </w:p>
        </w:tc>
      </w:tr>
    </w:tbl>
    <w:p>
      <w:pPr>
        <w:pStyle w:val="BodyText"/>
      </w:pPr>
      <w:r>
        <w:t xml:space="preserve">Payment Terms</w:t>
      </w:r>
    </w:p>
    <w:p>
      <w:pPr>
        <w:pStyle w:val="BodyText"/>
      </w:pPr>
      <w:r>
        <w:rPr>
          <w:bCs/>
          <w:b/>
        </w:rPr>
        <w:t xml:space="preserve">Payment Schedule:</w:t>
      </w:r>
      <w:r>
        <w:t xml:space="preserve"> </w:t>
      </w:r>
      <w:r>
        <w:t xml:space="preserve">40% advance upon contract signing; 35% upon completion of system installation; 25% upon final acceptance and delivery of the Emergency Response Plan.</w:t>
      </w:r>
    </w:p>
    <w:p>
      <w:pPr>
        <w:pStyle w:val="BodyText"/>
      </w:pPr>
      <w:r>
        <w:rPr>
          <w:bCs/>
          <w:b/>
        </w:rPr>
        <w:t xml:space="preserve">Payment Method:</w:t>
      </w:r>
      <w:r>
        <w:t xml:space="preserve"> </w:t>
      </w:r>
      <w:r>
        <w:t xml:space="preserve">Bank transfer to the account designated by Protección Integral del Fuego S.A.S. in a Colombian financial institution.</w:t>
      </w:r>
    </w:p>
    <w:p>
      <w:pPr>
        <w:pStyle w:val="BodyText"/>
      </w:pPr>
      <w:r>
        <w:rPr>
          <w:bCs/>
          <w:b/>
        </w:rPr>
        <w:t xml:space="preserve">Due Date:</w:t>
      </w:r>
      <w:r>
        <w:t xml:space="preserve"> </w:t>
      </w:r>
      <w:r>
        <w:t xml:space="preserve">Net 15 days from invoice date. Late payments shall accrue interest at the maximum rate permitted by Colombian law (Ley 1475 de 2011).</w:t>
      </w:r>
    </w:p>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thirty (30) calendar days from the date of issue. After this period, pricing may be subject to revision based on market fluctuations in</w:t>
      </w:r>
      <w:r>
        <w:t xml:space="preserve"> </w:t>
      </w:r>
      <w:r>
        <w:t xml:space="preserve">Colombia Bogotá</w:t>
      </w:r>
      <w:r>
        <w:t xml:space="preserve">.</w:t>
      </w:r>
    </w:p>
    <w:p>
      <w:pPr>
        <w:pStyle w:val="BodyText"/>
      </w:pPr>
      <w:r>
        <w:t xml:space="preserve">2. All</w:t>
      </w:r>
      <w:r>
        <w:t xml:space="preserve"> </w:t>
      </w:r>
      <w:r>
        <w:t xml:space="preserve">Firefighter</w:t>
      </w:r>
      <w:r>
        <w:t xml:space="preserve"> </w:t>
      </w:r>
      <w:r>
        <w:t xml:space="preserve">personnel deployed under this contract shall hold valid certifications issued by the Cuerpo de Bomberos de Bogotá and comply with the minimum competency standards established by the Colombian Ministry of Labor.</w:t>
      </w:r>
    </w:p>
    <w:p>
      <w:pPr>
        <w:pStyle w:val="BodyText"/>
      </w:pPr>
      <w:r>
        <w:t xml:space="preserve">3. The client agrees to provide safe access to all properties in</w:t>
      </w:r>
      <w:r>
        <w:t xml:space="preserve"> </w:t>
      </w:r>
      <w:r>
        <w:t xml:space="preserve">Colombia Bogotá</w:t>
      </w:r>
      <w:r>
        <w:t xml:space="preserve"> </w:t>
      </w:r>
      <w:r>
        <w:t xml:space="preserve">where services are to be rendered, including necessary permits and coordination with building management.</w:t>
      </w:r>
    </w:p>
    <w:p>
      <w:pPr>
        <w:pStyle w:val="BodyText"/>
      </w:pPr>
      <w:r>
        <w:t xml:space="preserve">4. Liability: Protección Integral del Fuego S.A.S. shall maintain comprehensive liability insurance with a minimum coverage of COP 2,000,000,000, valid throughout the service period in</w:t>
      </w:r>
      <w:r>
        <w:t xml:space="preserve"> </w:t>
      </w:r>
      <w:r>
        <w:t xml:space="preserve">Colombia Bogotá</w:t>
      </w:r>
      <w:r>
        <w:t xml:space="preserve">.</w:t>
      </w:r>
    </w:p>
    <w:p>
      <w:pPr>
        <w:pStyle w:val="BodyText"/>
      </w:pPr>
      <w:r>
        <w:t xml:space="preserve">5. Force Majeure: Neither party shall be liable for delays caused by events beyond reasonable control, including but not limited to natural disasters, government mandates, or public health emergencies affecting the Bogotá metropolitan area.</w:t>
      </w:r>
    </w:p>
    <w:p>
      <w:pPr>
        <w:pStyle w:val="BodyText"/>
      </w:pPr>
      <w:r>
        <w:t xml:space="preserve">6. Governing Law: This agreement shall be governed by the commercial and civil laws of the Republic of Colombia. Any disputes shall be resolved through the competent courts of Bogotá D.C.</w:t>
      </w:r>
    </w:p>
    <w:p>
      <w:pPr>
        <w:pStyle w:val="BodyText"/>
      </w:pPr>
      <w:r>
        <w:t xml:space="preserve">7. Confidentiality: All information exchanged under this</w:t>
      </w:r>
      <w:r>
        <w:t xml:space="preserve"> </w:t>
      </w:r>
      <w:r>
        <w:t xml:space="preserve">Quotation Estimate</w:t>
      </w:r>
      <w:r>
        <w:t xml:space="preserve"> </w:t>
      </w:r>
      <w:r>
        <w:t xml:space="preserve">and subsequent contract shall be treated as strictly confidential by both parties.</w:t>
      </w:r>
    </w:p>
    <w:p>
      <w:pPr>
        <w:pStyle w:val="BodyText"/>
      </w:pPr>
      <w:r>
        <w:t xml:space="preserve">Acceptance and Authorization</w:t>
      </w:r>
    </w:p>
    <w:p>
      <w:pPr>
        <w:pStyle w:val="BodyText"/>
      </w:pPr>
      <w:r>
        <w:t xml:space="preserve">By signing below, both parties acknowledge that this</w:t>
      </w:r>
      <w:r>
        <w:t xml:space="preserve"> </w:t>
      </w:r>
      <w:r>
        <w:t xml:space="preserve">Quotation Estimate</w:t>
      </w:r>
      <w:r>
        <w:t xml:space="preserve"> </w:t>
      </w:r>
      <w:r>
        <w:t xml:space="preserve">for</w:t>
      </w:r>
      <w:r>
        <w:t xml:space="preserve"> </w:t>
      </w:r>
      <w:r>
        <w:t xml:space="preserve">Firefighter</w:t>
      </w:r>
      <w:r>
        <w:t xml:space="preserve"> </w:t>
      </w:r>
      <w:r>
        <w:t xml:space="preserve">services in</w:t>
      </w:r>
      <w:r>
        <w:t xml:space="preserve"> </w:t>
      </w:r>
      <w:r>
        <w:t xml:space="preserve">Colombia Bogotá</w:t>
      </w:r>
      <w:r>
        <w:t xml:space="preserve"> </w:t>
      </w:r>
      <w:r>
        <w:t xml:space="preserve">has been reviewed, understood, and accepted in its entirety. This document serves as the basis for the subsequent formal service contract.</w:t>
      </w:r>
    </w:p>
    <w:p>
      <w:pPr>
        <w:pStyle w:val="BodyText"/>
      </w:pPr>
      <w:r>
        <w:rPr>
          <w:bCs/>
          <w:b/>
        </w:rPr>
        <w:t xml:space="preserve">For: Protección Integral del Fuego S.A.S.</w:t>
      </w:r>
      <w:r>
        <w:br/>
      </w:r>
      <w:r>
        <w:t xml:space="preserve">Name: ______________________________</w:t>
      </w:r>
      <w:r>
        <w:br/>
      </w:r>
      <w:r>
        <w:t xml:space="preserve">Title: Director General</w:t>
      </w:r>
      <w:r>
        <w:br/>
      </w:r>
      <w:r>
        <w:t xml:space="preserve">Date: ______________________________</w:t>
      </w:r>
    </w:p>
    <w:p>
      <w:pPr>
        <w:pStyle w:val="BodyText"/>
      </w:pPr>
      <w:r>
        <w:rPr>
          <w:bCs/>
          <w:b/>
        </w:rPr>
        <w:t xml:space="preserve">For: Corporación Edificios del Centro S.A.</w:t>
      </w:r>
      <w:r>
        <w:br/>
      </w:r>
      <w:r>
        <w:t xml:space="preserve">Name: ______________________________</w:t>
      </w:r>
      <w:r>
        <w:br/>
      </w:r>
      <w:r>
        <w:t xml:space="preserve">Title: Gerente de Operaciones</w:t>
      </w:r>
      <w:r>
        <w:br/>
      </w:r>
      <w:r>
        <w:t xml:space="preserve">Date: ______________________________</w:t>
      </w:r>
    </w:p>
    <w:p>
      <w:pPr>
        <w:pStyle w:val="BodyText"/>
      </w:pPr>
      <w:r>
        <w:t xml:space="preserve">Protección Integral del Fuego S.A.S. | Quotation Estimate QTE-BOG-2025-0417 | Colombia Bogotá</w:t>
      </w:r>
    </w:p>
    <w:p>
      <w:pPr>
        <w:pStyle w:val="BodyText"/>
      </w:pPr>
      <w:r>
        <w:t xml:space="preserve">This document is generated electronically and is valid without a physical signature. For verification, contact cotizaciones@proteccionfuego.co</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Colombia Bogotá</dc:title>
  <dc:creator/>
  <dc:language>en</dc:language>
  <cp:keywords/>
  <dcterms:created xsi:type="dcterms:W3CDTF">2026-10-10T03:39:41Z</dcterms:created>
  <dcterms:modified xsi:type="dcterms:W3CDTF">2026-10-10T03:39:41Z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