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quotation-estimate"/>
    <w:p>
      <w:pPr>
        <w:pStyle w:val="Heading1"/>
      </w:pPr>
      <w:r>
        <w:t xml:space="preserve">Quotation Estimate</w:t>
      </w:r>
    </w:p>
    <w:p>
      <w:pPr>
        <w:pStyle w:val="FirstParagraph"/>
      </w:pPr>
      <w:r>
        <w:rPr>
          <w:bCs/>
          <w:b/>
        </w:rPr>
        <w:t xml:space="preserve">SafeGuard Fire Solutions Pvt. Ltd.</w:t>
      </w:r>
    </w:p>
    <w:p>
      <w:pPr>
        <w:pStyle w:val="BodyText"/>
      </w:pPr>
      <w:r>
        <w:t xml:space="preserve">Office No. 412, 4th Floor, Trade Centre, Bandra-Kurla Complex,</w:t>
      </w:r>
      <w:r>
        <w:t xml:space="preserve"> </w:t>
      </w:r>
      <w:r>
        <w:t xml:space="preserve">Mumbai</w:t>
      </w:r>
      <w:r>
        <w:t xml:space="preserve">,</w:t>
      </w:r>
      <w:r>
        <w:t xml:space="preserve"> </w:t>
      </w:r>
      <w:r>
        <w:t xml:space="preserve">India</w:t>
      </w:r>
      <w:r>
        <w:t xml:space="preserve"> </w:t>
      </w:r>
      <w:r>
        <w:t xml:space="preserve">– 400051</w:t>
      </w:r>
    </w:p>
    <w:p>
      <w:pPr>
        <w:pStyle w:val="BodyText"/>
      </w:pPr>
      <w:r>
        <w:t xml:space="preserve">Phone: +91-22-4876-5432 | Email: quotations@safeguardfiresolutions.in</w:t>
      </w:r>
    </w:p>
    <w:p>
      <w:pPr>
        <w:pStyle w:val="BodyText"/>
      </w:pPr>
      <w:r>
        <w:t xml:space="preserve">CIN: U74999MH2015PTC284756 | GSTIN: 27AABCS1234F1Z5</w:t>
      </w:r>
    </w:p>
    <w:bookmarkEnd w:id="20"/>
    <w:p>
      <w:pPr>
        <w:pStyle w:val="BodyText"/>
      </w:pPr>
      <w:r>
        <w:rPr>
          <w:bCs/>
          <w:b/>
        </w:rPr>
        <w:t xml:space="preserve">Quotation No.:</w:t>
      </w:r>
      <w:r>
        <w:t xml:space="preserve"> </w:t>
      </w:r>
      <w:r>
        <w:t xml:space="preserve">QTE/MUM/FF/2025/00472</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For:</w:t>
      </w:r>
      <w:r>
        <w:t xml:space="preserve"> </w:t>
      </w:r>
      <w:r>
        <w:t xml:space="preserve">Mumbai Metropolitan Region Fire &amp; Safety Authority</w:t>
      </w:r>
    </w:p>
    <w:p>
      <w:pPr>
        <w:pStyle w:val="BodyText"/>
      </w:pPr>
      <w:r>
        <w:rPr>
          <w:bCs/>
          <w:b/>
        </w:rPr>
        <w:t xml:space="preserve">Project Location:</w:t>
      </w:r>
      <w:r>
        <w:t xml:space="preserve"> </w:t>
      </w:r>
      <w:r>
        <w:t xml:space="preserve">Mumbai</w:t>
      </w:r>
      <w:r>
        <w:t xml:space="preserve">, Maharashtra,</w:t>
      </w:r>
      <w:r>
        <w:t xml:space="preserve"> </w:t>
      </w:r>
      <w:r>
        <w:t xml:space="preserve">India</w:t>
      </w:r>
    </w:p>
    <w:p>
      <w:pPr>
        <w:pStyle w:val="BodyText"/>
      </w:pPr>
      <w:r>
        <w:rPr>
          <w:bCs/>
          <w:b/>
        </w:rPr>
        <w:t xml:space="preserve">Reference:</w:t>
      </w:r>
      <w:r>
        <w:t xml:space="preserve"> </w:t>
      </w:r>
      <w:r>
        <w:t xml:space="preserve">Tender No. MMRFSA/FF/2025/118</w:t>
      </w:r>
    </w:p>
    <w:p>
      <w:pPr>
        <w:pStyle w:val="BodyText"/>
      </w:pPr>
      <w:r>
        <w:t xml:space="preserve">This</w:t>
      </w:r>
      <w:r>
        <w:t xml:space="preserve"> </w:t>
      </w:r>
      <w:r>
        <w:t xml:space="preserve">Quotation Estimate</w:t>
      </w:r>
      <w:r>
        <w:t xml:space="preserve"> </w:t>
      </w:r>
      <w:r>
        <w:t xml:space="preserve">is submitted by SafeGuard Fire Solutions Pvt. Ltd. in response to the requirement for comprehensive</w:t>
      </w:r>
      <w:r>
        <w:t xml:space="preserve"> </w:t>
      </w:r>
      <w:r>
        <w:t xml:space="preserve">Firefighter</w:t>
      </w:r>
      <w:r>
        <w:t xml:space="preserve"> </w:t>
      </w:r>
      <w:r>
        <w:t xml:space="preserve">equipment, personal protective gear, and operational support services for deployment across the</w:t>
      </w:r>
      <w:r>
        <w:t xml:space="preserve"> </w:t>
      </w:r>
      <w:r>
        <w:t xml:space="preserve">Mumbai</w:t>
      </w:r>
      <w:r>
        <w:t xml:space="preserve"> </w:t>
      </w:r>
      <w:r>
        <w:t xml:space="preserve">metropolitan area. This</w:t>
      </w:r>
      <w:r>
        <w:t xml:space="preserve"> </w:t>
      </w:r>
      <w:r>
        <w:t xml:space="preserve">Quotation Estimate</w:t>
      </w:r>
      <w:r>
        <w:t xml:space="preserve"> </w:t>
      </w:r>
      <w:r>
        <w:t xml:space="preserve">covers the supply, installation, training, and annual maintenance of all</w:t>
      </w:r>
      <w:r>
        <w:t xml:space="preserve"> </w:t>
      </w:r>
      <w:r>
        <w:t xml:space="preserve">Firefighter</w:t>
      </w:r>
      <w:r>
        <w:t xml:space="preserve"> </w:t>
      </w:r>
      <w:r>
        <w:t xml:space="preserve">equipment as per the specifications outlined in the tender document. All pricing is quoted in Indian Rupees (INR) and is inclusive of GST at the applicable rate for the state of Maharashtra,</w:t>
      </w:r>
      <w:r>
        <w:t xml:space="preserve"> </w:t>
      </w:r>
      <w:r>
        <w:t xml:space="preserve">India</w:t>
      </w:r>
      <w:r>
        <w:t xml:space="preserve">.</w:t>
      </w:r>
    </w:p>
    <w:bookmarkStart w:id="21" w:name="Xaf2a3ec48a90313d2e57ffadd8038f6a1d1e6ce"/>
    <w:p>
      <w:pPr>
        <w:pStyle w:val="Heading2"/>
      </w:pPr>
      <w:r>
        <w:t xml:space="preserve">Itemised Quotation Estimate – Firefighter Equipment &amp; Services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Firefighter Item / Service</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(INR)</w:t>
            </w:r>
          </w:p>
        </w:tc>
        <w:tc>
          <w:tcPr/>
          <w:p>
            <w:pPr>
              <w:pStyle w:val="Compact"/>
              <w:jc w:val="left"/>
            </w:pPr>
            <w:r>
              <w:t xml:space="preserve">Total (INR)</w:t>
            </w:r>
          </w:p>
        </w:tc>
      </w:tr>
      <w:tr>
        <w:tc>
          <w:tcPr/>
          <w:p>
            <w:pPr>
              <w:pStyle w:val="Compact"/>
              <w:jc w:val="left"/>
            </w:pPr>
            <w:r>
              <w:t xml:space="preserve">1</w:t>
            </w:r>
          </w:p>
        </w:tc>
        <w:tc>
          <w:tcPr/>
          <w:p>
            <w:pPr>
              <w:pStyle w:val="Compact"/>
              <w:jc w:val="left"/>
            </w:pPr>
            <w:r>
              <w:t xml:space="preserve">Firefighter Turnout Gear (Full Set)</w:t>
            </w:r>
          </w:p>
        </w:tc>
        <w:tc>
          <w:tcPr/>
          <w:p>
            <w:pPr>
              <w:pStyle w:val="Compact"/>
              <w:jc w:val="left"/>
            </w:pPr>
            <w:r>
              <w:t xml:space="preserve">IS 15439:2018 compliant, 3-layer moisture barrier, reflective trim, Mumbai climate-rated</w:t>
            </w:r>
          </w:p>
        </w:tc>
        <w:tc>
          <w:tcPr/>
          <w:p>
            <w:pPr>
              <w:pStyle w:val="Compact"/>
              <w:jc w:val="left"/>
            </w:pPr>
            <w:r>
              <w:t xml:space="preserve">250</w:t>
            </w:r>
          </w:p>
        </w:tc>
        <w:tc>
          <w:tcPr/>
          <w:p>
            <w:pPr>
              <w:pStyle w:val="Compact"/>
              <w:jc w:val="left"/>
            </w:pPr>
            <w:r>
              <w:t xml:space="preserve">Sets</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2</w:t>
            </w:r>
          </w:p>
        </w:tc>
        <w:tc>
          <w:tcPr/>
          <w:p>
            <w:pPr>
              <w:pStyle w:val="Compact"/>
              <w:jc w:val="left"/>
            </w:pPr>
            <w:r>
              <w:t xml:space="preserve">Firefighter Self-Contained Breathing Apparatus (SCBA)</w:t>
            </w:r>
          </w:p>
        </w:tc>
        <w:tc>
          <w:tcPr/>
          <w:p>
            <w:pPr>
              <w:pStyle w:val="Compact"/>
              <w:jc w:val="left"/>
            </w:pPr>
            <w:r>
              <w:t xml:space="preserve">30-min, 300-bar cylinder, ISI marked, EN 137:2006</w:t>
            </w:r>
          </w:p>
        </w:tc>
        <w:tc>
          <w:tcPr/>
          <w:p>
            <w:pPr>
              <w:pStyle w:val="Compact"/>
              <w:jc w:val="left"/>
            </w:pPr>
            <w:r>
              <w:t xml:space="preserve">250</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15,500,000</w:t>
            </w:r>
          </w:p>
        </w:tc>
      </w:tr>
      <w:tr>
        <w:tc>
          <w:tcPr/>
          <w:p>
            <w:pPr>
              <w:pStyle w:val="Compact"/>
              <w:jc w:val="left"/>
            </w:pPr>
            <w:r>
              <w:t xml:space="preserve">3</w:t>
            </w:r>
          </w:p>
        </w:tc>
        <w:tc>
          <w:tcPr/>
          <w:p>
            <w:pPr>
              <w:pStyle w:val="Compact"/>
              <w:jc w:val="left"/>
            </w:pPr>
            <w:r>
              <w:t xml:space="preserve">Firefighter Helmet with Visor &amp; Neck Protector</w:t>
            </w:r>
          </w:p>
        </w:tc>
        <w:tc>
          <w:tcPr/>
          <w:p>
            <w:pPr>
              <w:pStyle w:val="Compact"/>
              <w:jc w:val="left"/>
            </w:pPr>
            <w:r>
              <w:t xml:space="preserve">ISI 15439, impact-resistant, Mumbai monsoon-rated ventilation</w:t>
            </w:r>
          </w:p>
        </w:tc>
        <w:tc>
          <w:tcPr/>
          <w:p>
            <w:pPr>
              <w:pStyle w:val="Compact"/>
              <w:jc w:val="left"/>
            </w:pPr>
            <w:r>
              <w:t xml:space="preserve">250</w:t>
            </w:r>
          </w:p>
        </w:tc>
        <w:tc>
          <w:tcPr/>
          <w:p>
            <w:pPr>
              <w:pStyle w:val="Compact"/>
              <w:jc w:val="left"/>
            </w:pPr>
            <w:r>
              <w:t xml:space="preserve">Pcs</w:t>
            </w:r>
          </w:p>
        </w:tc>
        <w:tc>
          <w:tcPr/>
          <w:p>
            <w:pPr>
              <w:pStyle w:val="Compact"/>
              <w:jc w:val="left"/>
            </w:pPr>
            <w:r>
              <w:t xml:space="preserve">8,750</w:t>
            </w:r>
          </w:p>
        </w:tc>
        <w:tc>
          <w:tcPr/>
          <w:p>
            <w:pPr>
              <w:pStyle w:val="Compact"/>
              <w:jc w:val="left"/>
            </w:pPr>
            <w:r>
              <w:t xml:space="preserve">2,187,500</w:t>
            </w:r>
          </w:p>
        </w:tc>
      </w:tr>
      <w:tr>
        <w:tc>
          <w:tcPr/>
          <w:p>
            <w:pPr>
              <w:pStyle w:val="Compact"/>
              <w:jc w:val="left"/>
            </w:pPr>
            <w:r>
              <w:t xml:space="preserve">4</w:t>
            </w:r>
          </w:p>
        </w:tc>
        <w:tc>
          <w:tcPr/>
          <w:p>
            <w:pPr>
              <w:pStyle w:val="Compact"/>
              <w:jc w:val="left"/>
            </w:pPr>
            <w:r>
              <w:t xml:space="preserve">Firefighter Safety Boots (Steel-Toe, Waterproof)</w:t>
            </w:r>
          </w:p>
        </w:tc>
        <w:tc>
          <w:tcPr/>
          <w:p>
            <w:pPr>
              <w:pStyle w:val="Compact"/>
              <w:jc w:val="left"/>
            </w:pPr>
            <w:r>
              <w:t xml:space="preserve">IS 15439, anti-slip sole, 42–46 sizes, Mumbai road conditions</w:t>
            </w:r>
          </w:p>
        </w:tc>
        <w:tc>
          <w:tcPr/>
          <w:p>
            <w:pPr>
              <w:pStyle w:val="Compact"/>
              <w:jc w:val="left"/>
            </w:pPr>
            <w:r>
              <w:t xml:space="preserve">250</w:t>
            </w:r>
          </w:p>
        </w:tc>
        <w:tc>
          <w:tcPr/>
          <w:p>
            <w:pPr>
              <w:pStyle w:val="Compact"/>
              <w:jc w:val="left"/>
            </w:pPr>
            <w:r>
              <w:t xml:space="preserve">Pairs</w:t>
            </w:r>
          </w:p>
        </w:tc>
        <w:tc>
          <w:tcPr/>
          <w:p>
            <w:pPr>
              <w:pStyle w:val="Compact"/>
              <w:jc w:val="left"/>
            </w:pPr>
            <w:r>
              <w:t xml:space="preserve">6,200</w:t>
            </w:r>
          </w:p>
        </w:tc>
        <w:tc>
          <w:tcPr/>
          <w:p>
            <w:pPr>
              <w:pStyle w:val="Compact"/>
              <w:jc w:val="left"/>
            </w:pPr>
            <w:r>
              <w:t xml:space="preserve">1,550,000</w:t>
            </w:r>
          </w:p>
        </w:tc>
      </w:tr>
      <w:tr>
        <w:tc>
          <w:tcPr/>
          <w:p>
            <w:pPr>
              <w:pStyle w:val="Compact"/>
              <w:jc w:val="left"/>
            </w:pPr>
            <w:r>
              <w:t xml:space="preserve">5</w:t>
            </w:r>
          </w:p>
        </w:tc>
        <w:tc>
          <w:tcPr/>
          <w:p>
            <w:pPr>
              <w:pStyle w:val="Compact"/>
              <w:jc w:val="left"/>
            </w:pPr>
            <w:r>
              <w:t xml:space="preserve">Firefighter Gloves (Heat-Resistant, 500°C)</w:t>
            </w:r>
          </w:p>
        </w:tc>
        <w:tc>
          <w:tcPr/>
          <w:p>
            <w:pPr>
              <w:pStyle w:val="Compact"/>
              <w:jc w:val="left"/>
            </w:pPr>
            <w:r>
              <w:t xml:space="preserve">ISI 15439, Kevlar-lined, dexterity-rated</w:t>
            </w:r>
          </w:p>
        </w:tc>
        <w:tc>
          <w:tcPr/>
          <w:p>
            <w:pPr>
              <w:pStyle w:val="Compact"/>
              <w:jc w:val="left"/>
            </w:pPr>
            <w:r>
              <w:t xml:space="preserve">500</w:t>
            </w:r>
          </w:p>
        </w:tc>
        <w:tc>
          <w:tcPr/>
          <w:p>
            <w:pPr>
              <w:pStyle w:val="Compact"/>
              <w:jc w:val="left"/>
            </w:pPr>
            <w:r>
              <w:t xml:space="preserve">Pairs</w:t>
            </w:r>
          </w:p>
        </w:tc>
        <w:tc>
          <w:tcPr/>
          <w:p>
            <w:pPr>
              <w:pStyle w:val="Compact"/>
              <w:jc w:val="left"/>
            </w:pPr>
            <w:r>
              <w:t xml:space="preserve">3,400</w:t>
            </w:r>
          </w:p>
        </w:tc>
        <w:tc>
          <w:tcPr/>
          <w:p>
            <w:pPr>
              <w:pStyle w:val="Compact"/>
              <w:jc w:val="left"/>
            </w:pPr>
            <w:r>
              <w:t xml:space="preserve">1,700,000</w:t>
            </w:r>
          </w:p>
        </w:tc>
      </w:tr>
      <w:tr>
        <w:tc>
          <w:tcPr/>
          <w:p>
            <w:pPr>
              <w:pStyle w:val="Compact"/>
              <w:jc w:val="left"/>
            </w:pPr>
            <w:r>
              <w:t xml:space="preserve">6</w:t>
            </w:r>
          </w:p>
        </w:tc>
        <w:tc>
          <w:tcPr/>
          <w:p>
            <w:pPr>
              <w:pStyle w:val="Compact"/>
              <w:jc w:val="left"/>
            </w:pPr>
            <w:r>
              <w:t xml:space="preserve">Firefighter Rescue Rope &amp; Harness Kit</w:t>
            </w:r>
          </w:p>
        </w:tc>
        <w:tc>
          <w:tcPr/>
          <w:p>
            <w:pPr>
              <w:pStyle w:val="Compact"/>
              <w:jc w:val="left"/>
            </w:pPr>
            <w:r>
              <w:t xml:space="preserve">100m static rope, 220kg load-rated harness, carabiners</w:t>
            </w:r>
          </w:p>
        </w:tc>
        <w:tc>
          <w:tcPr/>
          <w:p>
            <w:pPr>
              <w:pStyle w:val="Compact"/>
              <w:jc w:val="left"/>
            </w:pPr>
            <w:r>
              <w:t xml:space="preserve">120</w:t>
            </w:r>
          </w:p>
        </w:tc>
        <w:tc>
          <w:tcPr/>
          <w:p>
            <w:pPr>
              <w:pStyle w:val="Compact"/>
              <w:jc w:val="left"/>
            </w:pPr>
            <w:r>
              <w:t xml:space="preserve">Kits</w:t>
            </w:r>
          </w:p>
        </w:tc>
        <w:tc>
          <w:tcPr/>
          <w:p>
            <w:pPr>
              <w:pStyle w:val="Compact"/>
              <w:jc w:val="left"/>
            </w:pPr>
            <w:r>
              <w:t xml:space="preserve">14,800</w:t>
            </w:r>
          </w:p>
        </w:tc>
        <w:tc>
          <w:tcPr/>
          <w:p>
            <w:pPr>
              <w:pStyle w:val="Compact"/>
              <w:jc w:val="left"/>
            </w:pPr>
            <w:r>
              <w:t xml:space="preserve">1,776,000</w:t>
            </w:r>
          </w:p>
        </w:tc>
      </w:tr>
      <w:tr>
        <w:tc>
          <w:tcPr/>
          <w:p>
            <w:pPr>
              <w:pStyle w:val="Compact"/>
              <w:jc w:val="left"/>
            </w:pPr>
            <w:r>
              <w:t xml:space="preserve">7</w:t>
            </w:r>
          </w:p>
        </w:tc>
        <w:tc>
          <w:tcPr/>
          <w:p>
            <w:pPr>
              <w:pStyle w:val="Compact"/>
              <w:jc w:val="left"/>
            </w:pPr>
            <w:r>
              <w:t xml:space="preserve">Firefighter Thermal Imaging Camera</w:t>
            </w:r>
          </w:p>
        </w:tc>
        <w:tc>
          <w:tcPr/>
          <w:p>
            <w:pPr>
              <w:pStyle w:val="Compact"/>
              <w:jc w:val="left"/>
            </w:pPr>
            <w:r>
              <w:t xml:space="preserve">640x480 resolution, 320m range, IP67, Mumbai high-rise rated</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7,400,000</w:t>
            </w:r>
          </w:p>
        </w:tc>
      </w:tr>
      <w:tr>
        <w:tc>
          <w:tcPr/>
          <w:p>
            <w:pPr>
              <w:pStyle w:val="Compact"/>
              <w:jc w:val="left"/>
            </w:pPr>
            <w:r>
              <w:t xml:space="preserve">8</w:t>
            </w:r>
          </w:p>
        </w:tc>
        <w:tc>
          <w:tcPr/>
          <w:p>
            <w:pPr>
              <w:pStyle w:val="Compact"/>
              <w:jc w:val="left"/>
            </w:pPr>
            <w:r>
              <w:t xml:space="preserve">Firefighter Training &amp; Certification Programme</w:t>
            </w:r>
          </w:p>
        </w:tc>
        <w:tc>
          <w:tcPr/>
          <w:p>
            <w:pPr>
              <w:pStyle w:val="Compact"/>
              <w:jc w:val="left"/>
            </w:pPr>
            <w:r>
              <w:t xml:space="preserve">5-day intensive, NFPA 1001 aligned, conducted at BKC, Mumbai</w:t>
            </w:r>
          </w:p>
        </w:tc>
        <w:tc>
          <w:tcPr/>
          <w:p>
            <w:pPr>
              <w:pStyle w:val="Compact"/>
              <w:jc w:val="left"/>
            </w:pPr>
            <w:r>
              <w:t xml:space="preserve">250</w:t>
            </w:r>
          </w:p>
        </w:tc>
        <w:tc>
          <w:tcPr/>
          <w:p>
            <w:pPr>
              <w:pStyle w:val="Compact"/>
              <w:jc w:val="left"/>
            </w:pPr>
            <w:r>
              <w:t xml:space="preserve">Person-days</w:t>
            </w:r>
          </w:p>
        </w:tc>
        <w:tc>
          <w:tcPr/>
          <w:p>
            <w:pPr>
              <w:pStyle w:val="Compact"/>
              <w:jc w:val="left"/>
            </w:pPr>
            <w:r>
              <w:t xml:space="preserve">4,500</w:t>
            </w:r>
          </w:p>
        </w:tc>
        <w:tc>
          <w:tcPr/>
          <w:p>
            <w:pPr>
              <w:pStyle w:val="Compact"/>
              <w:jc w:val="left"/>
            </w:pPr>
            <w:r>
              <w:t xml:space="preserve">1,125,000</w:t>
            </w:r>
          </w:p>
        </w:tc>
      </w:tr>
      <w:tr>
        <w:tc>
          <w:tcPr/>
          <w:p>
            <w:pPr>
              <w:pStyle w:val="Compact"/>
              <w:jc w:val="left"/>
            </w:pPr>
            <w:r>
              <w:t xml:space="preserve">9</w:t>
            </w:r>
          </w:p>
        </w:tc>
        <w:tc>
          <w:tcPr/>
          <w:p>
            <w:pPr>
              <w:pStyle w:val="Compact"/>
              <w:jc w:val="left"/>
            </w:pPr>
            <w:r>
              <w:t xml:space="preserve">Annual Maintenance &amp; Calibration (SCBA + Gear)</w:t>
            </w:r>
          </w:p>
        </w:tc>
        <w:tc>
          <w:tcPr/>
          <w:p>
            <w:pPr>
              <w:pStyle w:val="Compact"/>
              <w:jc w:val="left"/>
            </w:pPr>
            <w:r>
              <w:t xml:space="preserve">Quarterly inspection, Mumbai-based service centre, 12-month</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10</w:t>
            </w:r>
          </w:p>
        </w:tc>
        <w:tc>
          <w:tcPr/>
          <w:p>
            <w:pPr>
              <w:pStyle w:val="Compact"/>
              <w:jc w:val="left"/>
            </w:pPr>
            <w:r>
              <w:t xml:space="preserve">Logistics, Delivery &amp; Installation in Mumbai</w:t>
            </w:r>
          </w:p>
        </w:tc>
        <w:tc>
          <w:tcPr/>
          <w:p>
            <w:pPr>
              <w:pStyle w:val="Compact"/>
              <w:jc w:val="left"/>
            </w:pPr>
            <w:r>
              <w:t xml:space="preserve">Door delivery to 12 fire stations across Mumbai, Maharashtra, India</w:t>
            </w:r>
          </w:p>
        </w:tc>
        <w:tc>
          <w:tcPr/>
          <w:p>
            <w:pPr>
              <w:pStyle w:val="Compact"/>
              <w:jc w:val="left"/>
            </w:pPr>
            <w:r>
              <w:t xml:space="preserve">1</w:t>
            </w:r>
          </w:p>
        </w:tc>
        <w:tc>
          <w:tcPr/>
          <w:p>
            <w:pPr>
              <w:pStyle w:val="Compact"/>
              <w:jc w:val="left"/>
            </w:pPr>
            <w:r>
              <w:t xml:space="preserve">Lot</w:t>
            </w:r>
          </w:p>
        </w:tc>
        <w:tc>
          <w:tcPr/>
          <w:p>
            <w:pPr>
              <w:pStyle w:val="Compact"/>
              <w:jc w:val="left"/>
            </w:pPr>
            <w:r>
              <w:t xml:space="preserve">3,20,000</w:t>
            </w:r>
          </w:p>
        </w:tc>
        <w:tc>
          <w:tcPr/>
          <w:p>
            <w:pPr>
              <w:pStyle w:val="Compact"/>
              <w:jc w:val="left"/>
            </w:pPr>
            <w:r>
              <w:t xml:space="preserve">3,20,000</w:t>
            </w:r>
          </w:p>
        </w:tc>
      </w:tr>
    </w:tbl>
    <w:p/>
    <w:tbl>
      <w:tblPr>
        <w:tblStyle w:val="Table"/>
        <w:tblW w:type="auto" w:w="0"/>
        <w:tblLook w:firstRow="0" w:lastRow="0" w:firstColumn="0" w:lastColumn="0" w:noHBand="0" w:noVBand="0" w:val="0000"/>
      </w:tblPr>
      <w:tblGrid>
        <w:gridCol w:w="1131"/>
        <w:gridCol w:w="1131"/>
        <w:gridCol w:w="1131"/>
        <w:gridCol w:w="1131"/>
        <w:gridCol w:w="1131"/>
        <w:gridCol w:w="1131"/>
        <w:gridCol w:w="1131"/>
      </w:tblGrid>
      <w:tr>
        <w:tc>
          <w:tcPr>
            <w:gridSpan w:val="6"/>
          </w:tcPr>
          <w:p>
            <w:pPr>
              <w:pStyle w:val="Compact"/>
              <w:jc w:val="left"/>
            </w:pPr>
            <w:r>
              <w:rPr>
                <w:bCs/>
                <w:b/>
              </w:rPr>
              <w:t xml:space="preserve">Sub-Total (Excluding GST)</w:t>
            </w:r>
          </w:p>
        </w:tc>
        <w:tc>
          <w:tcPr/>
          <w:p>
            <w:pPr>
              <w:pStyle w:val="Compact"/>
              <w:jc w:val="left"/>
            </w:pPr>
            <w:r>
              <w:t xml:space="preserve">₹ 63,333,500</w:t>
            </w:r>
          </w:p>
        </w:tc>
      </w:tr>
      <w:tr>
        <w:tc>
          <w:tcPr>
            <w:gridSpan w:val="6"/>
          </w:tcPr>
          <w:p>
            <w:pPr>
              <w:pStyle w:val="Compact"/>
              <w:jc w:val="left"/>
            </w:pPr>
            <w:r>
              <w:rPr>
                <w:bCs/>
                <w:b/>
              </w:rPr>
              <w:t xml:space="preserve">GST @ 18% (Maharashtra, India)</w:t>
            </w:r>
          </w:p>
        </w:tc>
        <w:tc>
          <w:tcPr/>
          <w:p>
            <w:pPr>
              <w:pStyle w:val="Compact"/>
              <w:jc w:val="left"/>
            </w:pPr>
            <w:r>
              <w:t xml:space="preserve">₹ 11,400,030</w:t>
            </w:r>
          </w:p>
        </w:tc>
      </w:tr>
      <w:tr>
        <w:tc>
          <w:tcPr>
            <w:gridSpan w:val="6"/>
          </w:tcPr>
          <w:p>
            <w:pPr>
              <w:pStyle w:val="Compact"/>
              <w:jc w:val="left"/>
            </w:pPr>
            <w:r>
              <w:rPr>
                <w:bCs/>
                <w:b/>
              </w:rPr>
              <w:t xml:space="preserve">GRAND TOTAL (Inclusive of GST)</w:t>
            </w:r>
          </w:p>
        </w:tc>
        <w:tc>
          <w:tcPr/>
          <w:p>
            <w:pPr>
              <w:pStyle w:val="Compact"/>
              <w:jc w:val="left"/>
            </w:pPr>
            <w:r>
              <w:rPr>
                <w:bCs/>
                <w:b/>
              </w:rPr>
              <w:t xml:space="preserve">₹ 74,733,530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specific to the</w:t>
      </w:r>
      <w:r>
        <w:t xml:space="preserve"> </w:t>
      </w:r>
      <w:r>
        <w:t xml:space="preserve">Firefighter</w:t>
      </w:r>
      <w:r>
        <w:t xml:space="preserve"> </w:t>
      </w:r>
      <w:r>
        <w:t xml:space="preserve">operational requirements of the</w:t>
      </w:r>
      <w:r>
        <w:t xml:space="preserve"> </w:t>
      </w:r>
      <w:r>
        <w:t xml:space="preserve">Mumbai</w:t>
      </w:r>
      <w:r>
        <w:t xml:space="preserve"> </w:t>
      </w:r>
      <w:r>
        <w:t xml:space="preserve">Metropolitan Region. All equipment is sourced from ISI-certified manufacturers operating within</w:t>
      </w:r>
      <w:r>
        <w:t xml:space="preserve"> </w:t>
      </w:r>
      <w:r>
        <w:t xml:space="preserve">India</w:t>
      </w:r>
      <w:r>
        <w:t xml:space="preserve"> </w:t>
      </w:r>
      <w:r>
        <w:t xml:space="preserve">to ensure compliance with Bureau of Indian Standards (BIS) and the Maharashtra Fire Safety Act. Prices are valid for 30 days from the date of this</w:t>
      </w:r>
      <w:r>
        <w:t xml:space="preserve"> </w:t>
      </w:r>
      <w:r>
        <w:t xml:space="preserve">Quotation Estimate</w:t>
      </w:r>
      <w:r>
        <w:t xml:space="preserve">.</w:t>
      </w:r>
    </w:p>
    <w:bookmarkEnd w:id="21"/>
    <w:bookmarkStart w:id="22" w:name="X06f751c0fef37426aad28df54ec1acd620508e5"/>
    <w:p>
      <w:pPr>
        <w:pStyle w:val="Heading2"/>
      </w:pPr>
      <w:r>
        <w:t xml:space="preserve">Terms &amp;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for</w:t>
      </w:r>
      <w:r>
        <w:t xml:space="preserve"> </w:t>
      </w:r>
      <w:r>
        <w:t xml:space="preserve">Firefighter</w:t>
      </w:r>
      <w:r>
        <w:t xml:space="preserve"> </w:t>
      </w:r>
      <w:r>
        <w:t xml:space="preserve">equipment may be revised due to market fluctuations in</w:t>
      </w:r>
      <w:r>
        <w:t xml:space="preserve"> </w:t>
      </w:r>
      <w:r>
        <w:t xml:space="preserve">India</w:t>
      </w:r>
      <w:r>
        <w:t xml:space="preserve">.</w:t>
      </w:r>
    </w:p>
    <w:p>
      <w:pPr>
        <w:numPr>
          <w:ilvl w:val="0"/>
          <w:numId w:val="1001"/>
        </w:numPr>
        <w:pStyle w:val="Compact"/>
      </w:pPr>
      <w:r>
        <w:t xml:space="preserve">Delivery of all</w:t>
      </w:r>
      <w:r>
        <w:t xml:space="preserve"> </w:t>
      </w:r>
      <w:r>
        <w:t xml:space="preserve">Firefighter</w:t>
      </w:r>
      <w:r>
        <w:t xml:space="preserve"> </w:t>
      </w:r>
      <w:r>
        <w:t xml:space="preserve">equipment to designated fire stations across</w:t>
      </w:r>
      <w:r>
        <w:t xml:space="preserve"> </w:t>
      </w:r>
      <w:r>
        <w:t xml:space="preserve">Mumbai</w:t>
      </w:r>
      <w:r>
        <w:t xml:space="preserve"> </w:t>
      </w:r>
      <w:r>
        <w:t xml:space="preserve">shall be completed within forty-five (45) days from the date of Purchase Order confirmation.</w:t>
      </w:r>
    </w:p>
    <w:p>
      <w:pPr>
        <w:numPr>
          <w:ilvl w:val="0"/>
          <w:numId w:val="1001"/>
        </w:numPr>
        <w:pStyle w:val="Compact"/>
      </w:pPr>
      <w:r>
        <w:t xml:space="preserve">Payment terms: 30% advance against Purchase Order, 60% upon delivery and acceptance at</w:t>
      </w:r>
      <w:r>
        <w:t xml:space="preserve"> </w:t>
      </w:r>
      <w:r>
        <w:t xml:space="preserve">Mumbai</w:t>
      </w:r>
      <w:r>
        <w:t xml:space="preserve"> </w:t>
      </w:r>
      <w:r>
        <w:t xml:space="preserve">sites, and 10% upon successful completion of the</w:t>
      </w:r>
      <w:r>
        <w:t xml:space="preserve"> </w:t>
      </w:r>
      <w:r>
        <w:t xml:space="preserve">Firefighter</w:t>
      </w:r>
      <w:r>
        <w:t xml:space="preserve"> </w:t>
      </w:r>
      <w:r>
        <w:t xml:space="preserve">training programme.</w:t>
      </w:r>
    </w:p>
    <w:p>
      <w:pPr>
        <w:numPr>
          <w:ilvl w:val="0"/>
          <w:numId w:val="1001"/>
        </w:numPr>
        <w:pStyle w:val="Compact"/>
      </w:pPr>
      <w:r>
        <w:t xml:space="preserve">All</w:t>
      </w:r>
      <w:r>
        <w:t xml:space="preserve"> </w:t>
      </w:r>
      <w:r>
        <w:t xml:space="preserve">Firefighter</w:t>
      </w:r>
      <w:r>
        <w:t xml:space="preserve"> </w:t>
      </w:r>
      <w:r>
        <w:t xml:space="preserve">gear and SCBA units shall carry a minimum two-year manufacturer warranty, serviced exclusively from our</w:t>
      </w:r>
      <w:r>
        <w:t xml:space="preserve"> </w:t>
      </w:r>
      <w:r>
        <w:t xml:space="preserve">Mumbai</w:t>
      </w:r>
      <w:r>
        <w:t xml:space="preserve">,</w:t>
      </w:r>
      <w:r>
        <w:t xml:space="preserve"> </w:t>
      </w:r>
      <w:r>
        <w:t xml:space="preserve">India</w:t>
      </w:r>
      <w:r>
        <w:t xml:space="preserve"> </w:t>
      </w:r>
      <w:r>
        <w:t xml:space="preserve">service centre.</w:t>
      </w:r>
    </w:p>
    <w:p>
      <w:pPr>
        <w:numPr>
          <w:ilvl w:val="0"/>
          <w:numId w:val="1001"/>
        </w:numPr>
        <w:pStyle w:val="Compact"/>
      </w:pPr>
      <w:r>
        <w:t xml:space="preserve">This</w:t>
      </w:r>
      <w:r>
        <w:t xml:space="preserve"> </w:t>
      </w:r>
      <w:r>
        <w:t xml:space="preserve">Quotation Estimate</w:t>
      </w:r>
      <w:r>
        <w:t xml:space="preserve"> </w:t>
      </w:r>
      <w:r>
        <w:t xml:space="preserve">is subject to the terms of the Indian Contract Act, 1872, and any disputes shall be resolved under the jurisdiction of the competent courts in</w:t>
      </w:r>
      <w:r>
        <w:t xml:space="preserve"> </w:t>
      </w:r>
      <w:r>
        <w:t xml:space="preserve">Mumbai</w:t>
      </w:r>
      <w:r>
        <w:t xml:space="preserve">, Maharashtra,</w:t>
      </w:r>
      <w:r>
        <w:t xml:space="preserve"> </w:t>
      </w:r>
      <w:r>
        <w:t xml:space="preserve">India</w:t>
      </w:r>
      <w:r>
        <w:t xml:space="preserve">.</w:t>
      </w:r>
    </w:p>
    <w:p>
      <w:pPr>
        <w:numPr>
          <w:ilvl w:val="0"/>
          <w:numId w:val="1001"/>
        </w:numPr>
        <w:pStyle w:val="Compact"/>
      </w:pPr>
      <w:r>
        <w:t xml:space="preserve">Any modification to the scope of</w:t>
      </w:r>
      <w:r>
        <w:t xml:space="preserve"> </w:t>
      </w:r>
      <w:r>
        <w:t xml:space="preserve">Firefighter</w:t>
      </w:r>
      <w:r>
        <w:t xml:space="preserve"> </w:t>
      </w:r>
      <w:r>
        <w:t xml:space="preserve">equipment or services outlined in this</w:t>
      </w:r>
      <w:r>
        <w:t xml:space="preserve"> </w:t>
      </w:r>
      <w:r>
        <w:t xml:space="preserve">Quotation Estimate</w:t>
      </w:r>
      <w:r>
        <w:t xml:space="preserve"> </w:t>
      </w:r>
      <w:r>
        <w:t xml:space="preserve">must be communicated in writing and will be subject to a revised estimate.</w:t>
      </w:r>
    </w:p>
    <w:p>
      <w:pPr>
        <w:numPr>
          <w:ilvl w:val="0"/>
          <w:numId w:val="1001"/>
        </w:numPr>
        <w:pStyle w:val="Compact"/>
      </w:pPr>
      <w:r>
        <w:t xml:space="preserve">Force majeure events, including but not limited to monsoon-related disruptions common to</w:t>
      </w:r>
      <w:r>
        <w:t xml:space="preserve"> </w:t>
      </w:r>
      <w:r>
        <w:t xml:space="preserve">Mumbai</w:t>
      </w:r>
      <w:r>
        <w:t xml:space="preserve">, may extend delivery timelines by up to fourteen (14) days without penalty.</w:t>
      </w:r>
    </w:p>
    <w:bookmarkEnd w:id="22"/>
    <w:bookmarkStart w:id="23" w:name="acceptance-authorisation"/>
    <w:p>
      <w:pPr>
        <w:pStyle w:val="Heading2"/>
      </w:pPr>
      <w:r>
        <w:t xml:space="preserve">Acceptance &amp; Authorisation</w:t>
      </w:r>
    </w:p>
    <w:p>
      <w:pPr>
        <w:pStyle w:val="FirstParagraph"/>
      </w:pPr>
      <w:r>
        <w:rPr>
          <w:bCs/>
          <w:b/>
        </w:rPr>
        <w:t xml:space="preserve">For SafeGuard Fire Solutions Pvt. Ltd.</w:t>
      </w:r>
    </w:p>
    <w:p>
      <w:pPr>
        <w:pStyle w:val="BodyText"/>
      </w:pPr>
      <w:r>
        <w:t xml:space="preserve">Authorised Signatory</w:t>
      </w:r>
    </w:p>
    <w:p>
      <w:pPr>
        <w:pStyle w:val="BodyText"/>
      </w:pPr>
      <w:r>
        <w:t xml:space="preserve">Rajesh Kumar – Director</w:t>
      </w:r>
    </w:p>
    <w:p>
      <w:pPr>
        <w:pStyle w:val="BodyText"/>
      </w:pPr>
      <w:r>
        <w:rPr>
          <w:bCs/>
          <w:b/>
        </w:rPr>
        <w:t xml:space="preserve">For Mumbai Metropolitan Region Fire &amp; Safety Authority</w:t>
      </w:r>
    </w:p>
    <w:p>
      <w:pPr>
        <w:pStyle w:val="BodyText"/>
      </w:pPr>
      <w:r>
        <w:t xml:space="preserve">Authorised Signatory</w:t>
      </w:r>
    </w:p>
    <w:p>
      <w:pPr>
        <w:pStyle w:val="BodyText"/>
      </w:pPr>
      <w:r>
        <w:t xml:space="preserve">___________________________</w:t>
      </w:r>
    </w:p>
    <w:p>
      <w:pPr>
        <w:pStyle w:val="BodyText"/>
      </w:pPr>
      <w:r>
        <w:t xml:space="preserve">This</w:t>
      </w:r>
      <w:r>
        <w:t xml:space="preserve"> </w:t>
      </w:r>
      <w:r>
        <w:t xml:space="preserve">Quotation Estimate</w:t>
      </w:r>
      <w:r>
        <w:t xml:space="preserve"> </w:t>
      </w:r>
      <w:r>
        <w:t xml:space="preserve">document is generated for</w:t>
      </w:r>
      <w:r>
        <w:t xml:space="preserve"> </w:t>
      </w:r>
      <w:r>
        <w:t xml:space="preserve">Firefighter</w:t>
      </w:r>
      <w:r>
        <w:t xml:space="preserve"> </w:t>
      </w:r>
      <w:r>
        <w:t xml:space="preserve">procurement purposes in</w:t>
      </w:r>
      <w:r>
        <w:t xml:space="preserve"> </w:t>
      </w:r>
      <w:r>
        <w:t xml:space="preserve">Mumbai</w:t>
      </w:r>
      <w:r>
        <w:t xml:space="preserve">,</w:t>
      </w:r>
      <w:r>
        <w:t xml:space="preserve"> </w:t>
      </w:r>
      <w:r>
        <w:t xml:space="preserve">India</w:t>
      </w:r>
      <w:r>
        <w:t xml:space="preserve">. Document Ref: QTE/MUM/FF/2025/00472 | Page 1 of 1</w:t>
      </w:r>
    </w:p>
    <w:p>
      <w:pPr>
        <w:pStyle w:val="BodyText"/>
      </w:pPr>
      <w:r>
        <w:t xml:space="preserve">SafeGuard Fire Solutions Pvt. Ltd. | Bandra-Kurla Complex,</w:t>
      </w:r>
      <w:r>
        <w:t xml:space="preserve"> </w:t>
      </w:r>
      <w:r>
        <w:t xml:space="preserve">Mumbai</w:t>
      </w:r>
      <w:r>
        <w:t xml:space="preserve"> </w:t>
      </w:r>
      <w:r>
        <w:t xml:space="preserve">400051, Maharashtra,</w:t>
      </w:r>
      <w:r>
        <w:t xml:space="preserve"> </w:t>
      </w:r>
      <w:r>
        <w:t xml:space="preserve">India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India Mumbai</dc:title>
  <dc:creator/>
  <dc:language>en</dc:language>
  <cp:keywords/>
  <dcterms:created xsi:type="dcterms:W3CDTF">2026-10-10T08:27:29Z</dcterms:created>
  <dcterms:modified xsi:type="dcterms:W3CDTF">2026-10-10T08:27:29Z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