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quotation-estimate"/>
    <w:p>
      <w:pPr>
        <w:pStyle w:val="Heading1"/>
      </w:pPr>
      <w:r>
        <w:t xml:space="preserve">Quotation Estimate</w:t>
      </w:r>
    </w:p>
    <w:p>
      <w:pPr>
        <w:pStyle w:val="FirstParagraph"/>
      </w:pPr>
      <w:r>
        <w:rPr>
          <w:bCs/>
          <w:b/>
        </w:rPr>
        <w:t xml:space="preserve">PT. Nusantara Fire Protection Services</w:t>
      </w:r>
    </w:p>
    <w:p>
      <w:pPr>
        <w:pStyle w:val="BodyText"/>
      </w:pPr>
      <w:r>
        <w:t xml:space="preserve">Jl. Jend. Sudirman Kav. 52-53, SCBD District, Indonesia Jakarta 12190</w:t>
      </w:r>
    </w:p>
    <w:p>
      <w:pPr>
        <w:pStyle w:val="BodyText"/>
      </w:pPr>
      <w:r>
        <w:t xml:space="preserve">Tel: +62-21-5790-1234 | Email: quotation@nusantarafire.co.id</w:t>
      </w:r>
    </w:p>
    <w:p>
      <w:pPr>
        <w:pStyle w:val="BodyText"/>
      </w:pPr>
      <w:r>
        <w:t xml:space="preserve">NPWP: 01.234.567.8-051.000 | Business License (NIB): 1234567890123</w:t>
      </w:r>
    </w:p>
    <w:bookmarkEnd w:id="20"/>
    <w:p>
      <w:pPr>
        <w:pStyle w:val="BodyText"/>
      </w:pPr>
      <w:r>
        <w:rPr>
          <w:bCs/>
          <w:b/>
        </w:rPr>
        <w:t xml:space="preserve">Quotation No.:</w:t>
      </w:r>
      <w:r>
        <w:t xml:space="preserve"> </w:t>
      </w:r>
      <w:r>
        <w:t xml:space="preserve">QTE/FIRE/JKT/2025/0047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Page:</w:t>
      </w:r>
      <w:r>
        <w:t xml:space="preserve"> </w:t>
      </w:r>
      <w:r>
        <w:t xml:space="preserve">1 of 1</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PT. Graha Sentosa Properties</w:t>
            </w:r>
          </w:p>
        </w:tc>
      </w:tr>
      <w:tr>
        <w:tc>
          <w:tcPr/>
          <w:p>
            <w:pPr>
              <w:pStyle w:val="Compact"/>
              <w:jc w:val="left"/>
            </w:pPr>
            <w:r>
              <w:rPr>
                <w:bCs/>
                <w:b/>
              </w:rPr>
              <w:t xml:space="preserve">Address:</w:t>
            </w:r>
          </w:p>
        </w:tc>
        <w:tc>
          <w:tcPr/>
          <w:p>
            <w:pPr>
              <w:pStyle w:val="Compact"/>
              <w:jc w:val="left"/>
            </w:pPr>
            <w:r>
              <w:t xml:space="preserve">Jl. HR. Rasuna Said Kav. 1-2, Kuningan, Indonesia Jakarta 12950</w:t>
            </w:r>
          </w:p>
        </w:tc>
      </w:tr>
      <w:tr>
        <w:tc>
          <w:tcPr/>
          <w:p>
            <w:pPr>
              <w:pStyle w:val="Compact"/>
              <w:jc w:val="left"/>
            </w:pPr>
            <w:r>
              <w:rPr>
                <w:bCs/>
                <w:b/>
              </w:rPr>
              <w:t xml:space="preserve">Contact Person:</w:t>
            </w:r>
          </w:p>
        </w:tc>
        <w:tc>
          <w:tcPr/>
          <w:p>
            <w:pPr>
              <w:pStyle w:val="Compact"/>
              <w:jc w:val="left"/>
            </w:pPr>
            <w:r>
              <w:t xml:space="preserve">Mr. Budi Santoso, Facilities Manager</w:t>
            </w:r>
          </w:p>
        </w:tc>
      </w:tr>
      <w:tr>
        <w:tc>
          <w:tcPr/>
          <w:p>
            <w:pPr>
              <w:pStyle w:val="Compact"/>
              <w:jc w:val="left"/>
            </w:pPr>
            <w:r>
              <w:rPr>
                <w:bCs/>
                <w:b/>
              </w:rPr>
              <w:t xml:space="preserve">Email:</w:t>
            </w:r>
          </w:p>
        </w:tc>
        <w:tc>
          <w:tcPr/>
          <w:p>
            <w:pPr>
              <w:pStyle w:val="Compact"/>
              <w:jc w:val="left"/>
            </w:pPr>
            <w:r>
              <w:t xml:space="preserve">b.santoso@grahasentosa.co.id</w:t>
            </w:r>
          </w:p>
        </w:tc>
      </w:tr>
      <w:tr>
        <w:tc>
          <w:tcPr/>
          <w:p>
            <w:pPr>
              <w:pStyle w:val="Compact"/>
              <w:jc w:val="left"/>
            </w:pPr>
            <w:r>
              <w:rPr>
                <w:bCs/>
                <w:b/>
              </w:rPr>
              <w:t xml:space="preserve">Phone:</w:t>
            </w:r>
          </w:p>
        </w:tc>
        <w:tc>
          <w:tcPr/>
          <w:p>
            <w:pPr>
              <w:pStyle w:val="Compact"/>
              <w:jc w:val="left"/>
            </w:pPr>
            <w:r>
              <w:t xml:space="preserve">+62-812-3456-7890</w:t>
            </w:r>
          </w:p>
        </w:tc>
      </w:tr>
    </w:tbl>
    <w:bookmarkEnd w:id="21"/>
    <w:bookmarkStart w:id="22" w:name="scope-of-work-firefighter-services"/>
    <w:p>
      <w:pPr>
        <w:pStyle w:val="Heading2"/>
      </w:pPr>
      <w:r>
        <w:t xml:space="preserve">2. Scope of Work – Firefighter Services</w:t>
      </w:r>
    </w:p>
    <w:p>
      <w:pPr>
        <w:pStyle w:val="FirstParagraph"/>
      </w:pPr>
      <w:r>
        <w:t xml:space="preserve">This</w:t>
      </w:r>
      <w:r>
        <w:t xml:space="preserve"> </w:t>
      </w:r>
      <w:r>
        <w:t xml:space="preserve">Quotation Estimate</w:t>
      </w:r>
      <w:r>
        <w:t xml:space="preserve"> </w:t>
      </w:r>
      <w:r>
        <w:t xml:space="preserve">is prepared for the provision of comprehensive</w:t>
      </w:r>
      <w:r>
        <w:t xml:space="preserve"> </w:t>
      </w:r>
      <w:r>
        <w:t xml:space="preserve">Firefighter</w:t>
      </w:r>
      <w:r>
        <w:t xml:space="preserve"> </w:t>
      </w:r>
      <w:r>
        <w:t xml:space="preserve">personnel services and fire safety support at the client's commercial property located in</w:t>
      </w:r>
      <w:r>
        <w:t xml:space="preserve"> </w:t>
      </w:r>
      <w:r>
        <w:t xml:space="preserve">Indonesia Jakarta</w:t>
      </w:r>
      <w:r>
        <w:t xml:space="preserve">. The scope encompasses the deployment of certified and trained</w:t>
      </w:r>
      <w:r>
        <w:t xml:space="preserve"> </w:t>
      </w:r>
      <w:r>
        <w:t xml:space="preserve">Firefighter</w:t>
      </w:r>
      <w:r>
        <w:t xml:space="preserve"> </w:t>
      </w:r>
      <w:r>
        <w:t xml:space="preserve">personnel to ensure continuous fire prevention, emergency response readiness, and compliance with all applicable fire safety regulations mandated by the National Fire and Rescue Agency (BNPBB) and the local fire department of Indonesia Jakarta (Damkar DKI Jakarta).</w:t>
      </w:r>
    </w:p>
    <w:p>
      <w:pPr>
        <w:pStyle w:val="BodyText"/>
      </w:pPr>
      <w:r>
        <w:t xml:space="preserve">The</w:t>
      </w:r>
      <w:r>
        <w:t xml:space="preserve"> </w:t>
      </w:r>
      <w:r>
        <w:t xml:space="preserve">Firefighter</w:t>
      </w:r>
      <w:r>
        <w:t xml:space="preserve"> </w:t>
      </w:r>
      <w:r>
        <w:t xml:space="preserve">team shall operate on a 24-hour, 7-day-per-week basis, maintaining a minimum of four (4) certified</w:t>
      </w:r>
      <w:r>
        <w:t xml:space="preserve"> </w:t>
      </w:r>
      <w:r>
        <w:t xml:space="preserve">Firefighter</w:t>
      </w:r>
      <w:r>
        <w:t xml:space="preserve"> </w:t>
      </w:r>
      <w:r>
        <w:t xml:space="preserve">personnel on-site at all times. Each</w:t>
      </w:r>
      <w:r>
        <w:t xml:space="preserve"> </w:t>
      </w:r>
      <w:r>
        <w:t xml:space="preserve">Firefighter</w:t>
      </w:r>
      <w:r>
        <w:t xml:space="preserve"> </w:t>
      </w:r>
      <w:r>
        <w:t xml:space="preserve">assigned to this contract shall hold a valid certification issued by the Indonesian National Fire Service (Damkar) and possess a minimum of three (3) years of professional experience in commercial and high-rise building fire protection within Indonesia Jakarta.</w:t>
      </w:r>
    </w:p>
    <w:bookmarkEnd w:id="22"/>
    <w:bookmarkStart w:id="23" w:name="itemized-quotation-estimate"/>
    <w:p>
      <w:pPr>
        <w:pStyle w:val="Heading2"/>
      </w:pPr>
      <w:r>
        <w:t xml:space="preserve">3. Itemized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Firefighter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(IDR)</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Certified Firefighter Personnel – Level I (Supervisor), 24/7 deployment, Indonesia Jakarta site</w:t>
            </w:r>
          </w:p>
        </w:tc>
        <w:tc>
          <w:tcPr/>
          <w:p>
            <w:pPr>
              <w:pStyle w:val="Compact"/>
              <w:jc w:val="left"/>
            </w:pPr>
            <w:r>
              <w:t xml:space="preserve">Person/Month</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2</w:t>
            </w:r>
          </w:p>
        </w:tc>
        <w:tc>
          <w:tcPr/>
          <w:p>
            <w:pPr>
              <w:pStyle w:val="Compact"/>
              <w:jc w:val="left"/>
            </w:pPr>
            <w:r>
              <w:t xml:space="preserve">Certified Firefighter Personnel – Level II (Operator), 24/7 deployment, Indonesia Jakarta site</w:t>
            </w:r>
          </w:p>
        </w:tc>
        <w:tc>
          <w:tcPr/>
          <w:p>
            <w:pPr>
              <w:pStyle w:val="Compact"/>
              <w:jc w:val="left"/>
            </w:pPr>
            <w:r>
              <w:t xml:space="preserve">Person/Month</w:t>
            </w:r>
          </w:p>
        </w:tc>
        <w:tc>
          <w:tcPr/>
          <w:p>
            <w:pPr>
              <w:pStyle w:val="Compact"/>
              <w:jc w:val="left"/>
            </w:pPr>
            <w:r>
              <w:t xml:space="preserve">3</w:t>
            </w:r>
          </w:p>
        </w:tc>
        <w:tc>
          <w:tcPr/>
          <w:p>
            <w:pPr>
              <w:pStyle w:val="Compact"/>
              <w:jc w:val="left"/>
            </w:pPr>
            <w:r>
              <w:t xml:space="preserve">9,800,000</w:t>
            </w:r>
          </w:p>
        </w:tc>
        <w:tc>
          <w:tcPr/>
          <w:p>
            <w:pPr>
              <w:pStyle w:val="Compact"/>
              <w:jc w:val="left"/>
            </w:pPr>
            <w:r>
              <w:t xml:space="preserve">29,400,000</w:t>
            </w:r>
          </w:p>
        </w:tc>
      </w:tr>
      <w:tr>
        <w:tc>
          <w:tcPr/>
          <w:p>
            <w:pPr>
              <w:pStyle w:val="Compact"/>
              <w:jc w:val="left"/>
            </w:pPr>
            <w:r>
              <w:t xml:space="preserve">3</w:t>
            </w:r>
          </w:p>
        </w:tc>
        <w:tc>
          <w:tcPr/>
          <w:p>
            <w:pPr>
              <w:pStyle w:val="Compact"/>
              <w:jc w:val="left"/>
            </w:pPr>
            <w:r>
              <w:t xml:space="preserve">Firefighter Personal Protective Equipment (PPE) – Full set per personnel (helmet, jacket, pants, boots, gloves)</w:t>
            </w:r>
          </w:p>
        </w:tc>
        <w:tc>
          <w:tcPr/>
          <w:p>
            <w:pPr>
              <w:pStyle w:val="Compact"/>
              <w:jc w:val="left"/>
            </w:pPr>
            <w:r>
              <w:t xml:space="preserve">Set</w:t>
            </w:r>
          </w:p>
        </w:tc>
        <w:tc>
          <w:tcPr/>
          <w:p>
            <w:pPr>
              <w:pStyle w:val="Compact"/>
              <w:jc w:val="left"/>
            </w:pPr>
            <w:r>
              <w:t xml:space="preserve">4</w:t>
            </w:r>
          </w:p>
        </w:tc>
        <w:tc>
          <w:tcPr/>
          <w:p>
            <w:pPr>
              <w:pStyle w:val="Compact"/>
              <w:jc w:val="left"/>
            </w:pPr>
            <w:r>
              <w:t xml:space="preserve">8,500,000</w:t>
            </w:r>
          </w:p>
        </w:tc>
        <w:tc>
          <w:tcPr/>
          <w:p>
            <w:pPr>
              <w:pStyle w:val="Compact"/>
              <w:jc w:val="left"/>
            </w:pPr>
            <w:r>
              <w:t xml:space="preserve">34,000,000</w:t>
            </w:r>
          </w:p>
        </w:tc>
      </w:tr>
      <w:tr>
        <w:tc>
          <w:tcPr/>
          <w:p>
            <w:pPr>
              <w:pStyle w:val="Compact"/>
              <w:jc w:val="left"/>
            </w:pPr>
            <w:r>
              <w:t xml:space="preserve">4</w:t>
            </w:r>
          </w:p>
        </w:tc>
        <w:tc>
          <w:tcPr/>
          <w:p>
            <w:pPr>
              <w:pStyle w:val="Compact"/>
              <w:jc w:val="left"/>
            </w:pPr>
            <w:r>
              <w:t xml:space="preserve">Monthly Firefighter Training &amp; Drills – Evacuation, extinguisher use, hose deployment (Indonesia Jakarta protocol)</w:t>
            </w:r>
          </w:p>
        </w:tc>
        <w:tc>
          <w:tcPr/>
          <w:p>
            <w:pPr>
              <w:pStyle w:val="Compact"/>
              <w:jc w:val="left"/>
            </w:pPr>
            <w:r>
              <w:t xml:space="preserve">Session/Month</w:t>
            </w:r>
          </w:p>
        </w:tc>
        <w:tc>
          <w:tcPr/>
          <w:p>
            <w:pPr>
              <w:pStyle w:val="Compact"/>
              <w:jc w:val="left"/>
            </w:pPr>
            <w:r>
              <w:t xml:space="preserve">4</w:t>
            </w:r>
          </w:p>
        </w:tc>
        <w:tc>
          <w:tcPr/>
          <w:p>
            <w:pPr>
              <w:pStyle w:val="Compact"/>
              <w:jc w:val="left"/>
            </w:pPr>
            <w:r>
              <w:t xml:space="preserve">3,500,000</w:t>
            </w:r>
          </w:p>
        </w:tc>
        <w:tc>
          <w:tcPr/>
          <w:p>
            <w:pPr>
              <w:pStyle w:val="Compact"/>
              <w:jc w:val="left"/>
            </w:pPr>
            <w:r>
              <w:t xml:space="preserve">14,000,000</w:t>
            </w:r>
          </w:p>
        </w:tc>
      </w:tr>
      <w:tr>
        <w:tc>
          <w:tcPr/>
          <w:p>
            <w:pPr>
              <w:pStyle w:val="Compact"/>
              <w:jc w:val="left"/>
            </w:pPr>
            <w:r>
              <w:t xml:space="preserve">5</w:t>
            </w:r>
          </w:p>
        </w:tc>
        <w:tc>
          <w:tcPr/>
          <w:p>
            <w:pPr>
              <w:pStyle w:val="Compact"/>
              <w:jc w:val="left"/>
            </w:pPr>
            <w:r>
              <w:t xml:space="preserve">Firefighter Equipment Maintenance – Fire extinguishers, hydrant systems, smoke detectors, alarm panels</w:t>
            </w:r>
          </w:p>
        </w:tc>
        <w:tc>
          <w:tcPr/>
          <w:p>
            <w:pPr>
              <w:pStyle w:val="Compact"/>
              <w:jc w:val="left"/>
            </w:pPr>
            <w:r>
              <w:t xml:space="preserve">Month</w:t>
            </w:r>
          </w:p>
        </w:tc>
        <w:tc>
          <w:tcPr/>
          <w:p>
            <w:pPr>
              <w:pStyle w:val="Compact"/>
              <w:jc w:val="left"/>
            </w:pPr>
            <w:r>
              <w:t xml:space="preserve">1</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6</w:t>
            </w:r>
          </w:p>
        </w:tc>
        <w:tc>
          <w:tcPr/>
          <w:p>
            <w:pPr>
              <w:pStyle w:val="Compact"/>
              <w:jc w:val="left"/>
            </w:pPr>
            <w:r>
              <w:t xml:space="preserve">Fire Safety Compliance Reporting – Monthly inspection reports submitted to Damkar Indonesia Jakarta</w:t>
            </w:r>
          </w:p>
        </w:tc>
        <w:tc>
          <w:tcPr/>
          <w:p>
            <w:pPr>
              <w:pStyle w:val="Compact"/>
              <w:jc w:val="left"/>
            </w:pPr>
            <w:r>
              <w:t xml:space="preserve">Report/Month</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7</w:t>
            </w:r>
          </w:p>
        </w:tc>
        <w:tc>
          <w:tcPr/>
          <w:p>
            <w:pPr>
              <w:pStyle w:val="Compact"/>
              <w:jc w:val="left"/>
            </w:pPr>
            <w:r>
              <w:t xml:space="preserve">Emergency Response Coordination – Liaison with Damkar Indonesia Jakarta and BNPBB for incident management</w:t>
            </w:r>
          </w:p>
        </w:tc>
        <w:tc>
          <w:tcPr/>
          <w:p>
            <w:pPr>
              <w:pStyle w:val="Compact"/>
              <w:jc w:val="left"/>
            </w:pPr>
            <w:r>
              <w:t xml:space="preserve">Month</w:t>
            </w:r>
          </w:p>
        </w:tc>
        <w:tc>
          <w:tcPr/>
          <w:p>
            <w:pPr>
              <w:pStyle w:val="Compact"/>
              <w:jc w:val="left"/>
            </w:pPr>
            <w:r>
              <w:t xml:space="preserve">1</w:t>
            </w:r>
          </w:p>
        </w:tc>
        <w:tc>
          <w:tcPr/>
          <w:p>
            <w:pPr>
              <w:pStyle w:val="Compact"/>
              <w:jc w:val="left"/>
            </w:pPr>
            <w:r>
              <w:t xml:space="preserve">4,000,000</w:t>
            </w:r>
          </w:p>
        </w:tc>
        <w:tc>
          <w:tcPr/>
          <w:p>
            <w:pPr>
              <w:pStyle w:val="Compact"/>
              <w:jc w:val="left"/>
            </w:pPr>
            <w:r>
              <w:t xml:space="preserve">4,000,000</w:t>
            </w:r>
          </w:p>
        </w:tc>
      </w:tr>
      <w:tr>
        <w:tc>
          <w:tcPr/>
          <w:p>
            <w:pPr>
              <w:pStyle w:val="Compact"/>
              <w:jc w:val="left"/>
            </w:pPr>
            <w:r>
              <w:t xml:space="preserve">8</w:t>
            </w:r>
          </w:p>
        </w:tc>
        <w:tc>
          <w:tcPr/>
          <w:p>
            <w:pPr>
              <w:pStyle w:val="Compact"/>
              <w:jc w:val="left"/>
            </w:pPr>
            <w:r>
              <w:t xml:space="preserve">Firefighter Shift Allowance &amp; Overtime Provision (12-hour shifts, 3 shifts per day)</w:t>
            </w:r>
          </w:p>
        </w:tc>
        <w:tc>
          <w:tcPr/>
          <w:p>
            <w:pPr>
              <w:pStyle w:val="Compact"/>
              <w:jc w:val="left"/>
            </w:pPr>
            <w:r>
              <w:t xml:space="preserve">Month</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r>
      <w:tr>
        <w:tc>
          <w:tcPr>
            <w:gridSpan w:val="5"/>
          </w:tcPr>
          <w:p>
            <w:pPr>
              <w:pStyle w:val="Compact"/>
              <w:jc w:val="left"/>
            </w:pPr>
            <w:r>
              <w:t xml:space="preserve">Subtotal (Monthly)</w:t>
            </w:r>
          </w:p>
        </w:tc>
        <w:tc>
          <w:tcPr/>
          <w:p>
            <w:pPr>
              <w:pStyle w:val="Compact"/>
              <w:jc w:val="left"/>
            </w:pPr>
            <w:r>
              <w:t xml:space="preserve">110,400,000</w:t>
            </w:r>
          </w:p>
        </w:tc>
      </w:tr>
      <w:tr>
        <w:tc>
          <w:tcPr>
            <w:gridSpan w:val="5"/>
          </w:tcPr>
          <w:p>
            <w:pPr>
              <w:pStyle w:val="Compact"/>
              <w:jc w:val="left"/>
            </w:pPr>
            <w:r>
              <w:t xml:space="preserve">VAT (PPN) 11%</w:t>
            </w:r>
          </w:p>
        </w:tc>
        <w:tc>
          <w:tcPr/>
          <w:p>
            <w:pPr>
              <w:pStyle w:val="Compact"/>
              <w:jc w:val="left"/>
            </w:pPr>
            <w:r>
              <w:t xml:space="preserve">12,144,000</w:t>
            </w:r>
          </w:p>
        </w:tc>
      </w:tr>
      <w:tr>
        <w:tc>
          <w:tcPr>
            <w:gridSpan w:val="5"/>
          </w:tcPr>
          <w:p>
            <w:pPr>
              <w:pStyle w:val="Compact"/>
              <w:jc w:val="left"/>
            </w:pPr>
            <w:r>
              <w:rPr>
                <w:bCs/>
                <w:b/>
              </w:rPr>
              <w:t xml:space="preserve">TOTAL MONTHLY AMOUNT (IDR)</w:t>
            </w:r>
          </w:p>
        </w:tc>
        <w:tc>
          <w:tcPr/>
          <w:p>
            <w:pPr>
              <w:pStyle w:val="Compact"/>
              <w:jc w:val="left"/>
            </w:pPr>
            <w:r>
              <w:rPr>
                <w:bCs/>
                <w:b/>
              </w:rPr>
              <w:t xml:space="preserve">122,544,000</w:t>
            </w:r>
          </w:p>
        </w:tc>
      </w:tr>
      <w:tr>
        <w:tc>
          <w:tcPr>
            <w:gridSpan w:val="5"/>
          </w:tcPr>
          <w:p>
            <w:pPr>
              <w:pStyle w:val="Compact"/>
              <w:jc w:val="left"/>
            </w:pPr>
            <w:r>
              <w:rPr>
                <w:bCs/>
                <w:b/>
              </w:rPr>
              <w:t xml:space="preserve">TOTAL ANNUAL AMOUNT (IDR) – 12 Months</w:t>
            </w:r>
          </w:p>
        </w:tc>
        <w:tc>
          <w:tcPr/>
          <w:p>
            <w:pPr>
              <w:pStyle w:val="Compact"/>
              <w:jc w:val="left"/>
            </w:pPr>
            <w:r>
              <w:rPr>
                <w:bCs/>
                <w:b/>
              </w:rPr>
              <w:t xml:space="preserve">1,470,528,000</w:t>
            </w:r>
          </w:p>
        </w:tc>
      </w:tr>
    </w:tbl>
    <w:p>
      <w:pPr>
        <w:pStyle w:val="BodyText"/>
      </w:pPr>
      <w:r>
        <w:rPr>
          <w:bCs/>
          <w:b/>
        </w:rPr>
        <w:t xml:space="preserve">Note:</w:t>
      </w:r>
      <w:r>
        <w:t xml:space="preserve"> </w:t>
      </w:r>
      <w:r>
        <w:t xml:space="preserve">This Quotation Estimate is valid for thirty (30) calendar days from the date of issue. All prices are quoted in Indonesian Rupiah (IDR) and include all applicable local taxes for the Indonesia Jakarta region. Any changes in scope, personnel requirements, or regulatory updates from Damkar Indonesia Jakarta may result in a revised Quotation Estimate.</w:t>
      </w:r>
    </w:p>
    <w:bookmarkEnd w:id="23"/>
    <w:bookmarkStart w:id="24" w:name="terms-and-conditions"/>
    <w:p>
      <w:pPr>
        <w:pStyle w:val="Heading2"/>
      </w:pPr>
      <w:r>
        <w:t xml:space="preserve">4. Terms and Conditions</w:t>
      </w:r>
    </w:p>
    <w:p>
      <w:pPr>
        <w:numPr>
          <w:ilvl w:val="0"/>
          <w:numId w:val="1001"/>
        </w:numPr>
        <w:pStyle w:val="Compact"/>
      </w:pPr>
      <w:r>
        <w:t xml:space="preserve">This Quotation Estimate for Firefighter services is valid for 30 days from the date of issuance. Beyond this period, pricing may be subject to revision based on market conditions in Indonesia Jakarta.</w:t>
      </w:r>
    </w:p>
    <w:p>
      <w:pPr>
        <w:numPr>
          <w:ilvl w:val="0"/>
          <w:numId w:val="1001"/>
        </w:numPr>
        <w:pStyle w:val="Compact"/>
      </w:pPr>
      <w:r>
        <w:t xml:space="preserve">Payment terms: 50% advance payment upon contract signing, with the remaining 50% due on the 5th business day of each subsequent month. Payment shall be made via bank transfer to the account specified in the contract.</w:t>
      </w:r>
    </w:p>
    <w:p>
      <w:pPr>
        <w:numPr>
          <w:ilvl w:val="0"/>
          <w:numId w:val="1001"/>
        </w:numPr>
        <w:pStyle w:val="Compact"/>
      </w:pPr>
      <w:r>
        <w:t xml:space="preserve">The Firefighter personnel deployed under this Quotation Estimate shall be fully insured under the Indonesian national health insurance (BPJS Ketenagakerjaan) and additional occupational hazard coverage.</w:t>
      </w:r>
    </w:p>
    <w:p>
      <w:pPr>
        <w:numPr>
          <w:ilvl w:val="0"/>
          <w:numId w:val="1001"/>
        </w:numPr>
        <w:pStyle w:val="Compact"/>
      </w:pPr>
      <w:r>
        <w:t xml:space="preserve">All Firefighter personnel shall comply with the labor laws of Indonesia, including the minimum wage regulations applicable to Indonesia Jakarta (UMK DKI Jakarta) as updated annually by the provincial government.</w:t>
      </w:r>
    </w:p>
    <w:p>
      <w:pPr>
        <w:numPr>
          <w:ilvl w:val="0"/>
          <w:numId w:val="1001"/>
        </w:numPr>
        <w:pStyle w:val="Compact"/>
      </w:pPr>
      <w:r>
        <w:t xml:space="preserve">The client reserves the right to request replacement of any Firefighter personnel who fail to meet performance standards, with a minimum of 72-hour written notice.</w:t>
      </w:r>
    </w:p>
    <w:p>
      <w:pPr>
        <w:numPr>
          <w:ilvl w:val="0"/>
          <w:numId w:val="1001"/>
        </w:numPr>
        <w:pStyle w:val="Compact"/>
      </w:pPr>
      <w:r>
        <w:t xml:space="preserve">Force majeure events, including but not limited to natural disasters common to the Indonesia Jakarta region (floods, earthquakes), shall be addressed as per standard Indonesian commercial contract law.</w:t>
      </w:r>
    </w:p>
    <w:p>
      <w:pPr>
        <w:numPr>
          <w:ilvl w:val="0"/>
          <w:numId w:val="1001"/>
        </w:numPr>
        <w:pStyle w:val="Compact"/>
      </w:pPr>
      <w:r>
        <w:t xml:space="preserve">This Quotation Estimate does not constitute a binding contract until both parties have executed the formal Service Agreement document.</w:t>
      </w:r>
    </w:p>
    <w:p>
      <w:pPr>
        <w:numPr>
          <w:ilvl w:val="0"/>
          <w:numId w:val="1001"/>
        </w:numPr>
        <w:pStyle w:val="Compact"/>
      </w:pPr>
      <w:r>
        <w:t xml:space="preserve">All Firefighter training and drills shall be conducted in accordance with the latest guidelines issued by BNPBB and Damkar Indonesia Jakarta.</w:t>
      </w:r>
    </w:p>
    <w:p>
      <w:pPr>
        <w:numPr>
          <w:ilvl w:val="0"/>
          <w:numId w:val="1001"/>
        </w:numPr>
        <w:pStyle w:val="Compact"/>
      </w:pPr>
      <w:r>
        <w:t xml:space="preserve">Confidentiality: All operational data, building layouts, and security protocols shared during the engagement shall remain strictly confidential.</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and accept the terms outlined in this Quotation Estimate for the Firefighter services to be rendered in Indonesia Jakarta. This document serves as the formal basis for the subsequent Service Agreement.</w:t>
      </w:r>
    </w:p>
    <w:p>
      <w:pPr>
        <w:pStyle w:val="BodyText"/>
      </w:pPr>
      <w:r>
        <w:rPr>
          <w:bCs/>
          <w:b/>
        </w:rPr>
        <w:t xml:space="preserve">Prepared By (Supplier):</w:t>
      </w:r>
    </w:p>
    <w:p>
      <w:pPr>
        <w:pStyle w:val="BodyText"/>
      </w:pPr>
      <w:r>
        <w:t xml:space="preserve">PT. Nusantara Fire Protection Services</w:t>
      </w:r>
    </w:p>
    <w:p>
      <w:pPr>
        <w:pStyle w:val="BodyText"/>
      </w:pPr>
      <w:r>
        <w:rPr>
          <w:bCs/>
          <w:b/>
        </w:rPr>
        <w:t xml:space="preserve">Andi Wijaya</w:t>
      </w:r>
      <w:r>
        <w:br/>
      </w:r>
      <w:r>
        <w:t xml:space="preserve">Director of Operations</w:t>
      </w:r>
      <w:r>
        <w:br/>
      </w:r>
      <w:r>
        <w:t xml:space="preserve">Date: _______________</w:t>
      </w:r>
    </w:p>
    <w:p>
      <w:pPr>
        <w:pStyle w:val="BodyText"/>
      </w:pPr>
      <w:r>
        <w:rPr>
          <w:bCs/>
          <w:b/>
        </w:rPr>
        <w:t xml:space="preserve">Accepted By (Client):</w:t>
      </w:r>
    </w:p>
    <w:p>
      <w:pPr>
        <w:pStyle w:val="BodyText"/>
      </w:pPr>
      <w:r>
        <w:t xml:space="preserve">PT. Graha Sentosa Properties</w:t>
      </w:r>
    </w:p>
    <w:p>
      <w:pPr>
        <w:pStyle w:val="BodyText"/>
      </w:pPr>
      <w:r>
        <w:rPr>
          <w:bCs/>
          <w:b/>
        </w:rPr>
        <w:t xml:space="preserve">Budi Santoso</w:t>
      </w:r>
      <w:r>
        <w:br/>
      </w:r>
      <w:r>
        <w:t xml:space="preserve">Facilities Manager</w:t>
      </w:r>
      <w:r>
        <w:br/>
      </w:r>
      <w:r>
        <w:t xml:space="preserve">Date: _______________</w:t>
      </w:r>
    </w:p>
    <w:p>
      <w:pPr>
        <w:pStyle w:val="BodyText"/>
      </w:pPr>
      <w:r>
        <w:rPr>
          <w:bCs/>
          <w:b/>
        </w:rPr>
        <w:t xml:space="preserve">PT. Nusantara Fire Protection Services</w:t>
      </w:r>
      <w:r>
        <w:t xml:space="preserve"> </w:t>
      </w:r>
      <w:r>
        <w:t xml:space="preserve">| Jl. Jend. Sudirman Kav. 52-53, SCBD, Indonesia Jakarta 12190</w:t>
      </w:r>
    </w:p>
    <w:p>
      <w:pPr>
        <w:pStyle w:val="BodyText"/>
      </w:pPr>
      <w:r>
        <w:t xml:space="preserve">This Quotation Estimate document was generated on 15 June 2025. For inquiries regarding this Firefighter service quotation, please contact our Indonesia Jakarta office at +62-21-5790-1234.</w:t>
      </w:r>
    </w:p>
    <w:p>
      <w:pPr>
        <w:pStyle w:val="BodyText"/>
      </w:pPr>
      <w:r>
        <w:t xml:space="preserve">Document Reference: QTE/FIRE/JKT/2025/0047 | Confidential – For Client Use Only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Firefighter Services - Indonesia Jakarta</dc:title>
  <dc:creator/>
  <dc:language>en</dc:language>
  <cp:keywords/>
  <dcterms:created xsi:type="dcterms:W3CDTF">2026-10-10T01:06:02Z</dcterms:created>
  <dcterms:modified xsi:type="dcterms:W3CDTF">2026-10-10T01:06:02Z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