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Al-Safe Fire Protection &amp; Emergency Services LLC</w:t>
      </w:r>
    </w:p>
    <w:p>
      <w:pPr>
        <w:pStyle w:val="BodyText"/>
      </w:pPr>
      <w:r>
        <w:t xml:space="preserve">Office No. 142, 3rd Floor, Al-Salem Tower, Al-Salem Street, Kuwait City, Kuwait</w:t>
      </w:r>
    </w:p>
    <w:p>
      <w:pPr>
        <w:pStyle w:val="BodyText"/>
      </w:pPr>
      <w:r>
        <w:t xml:space="preserve">Tel: +965-2244-5566 | Email: quotations@alsafefire.kw | CR: 108765-KW</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QTE-2025-KW-0472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Client Name:</w:t>
            </w:r>
          </w:p>
        </w:tc>
        <w:tc>
          <w:tcPr/>
          <w:p>
            <w:pPr>
              <w:pStyle w:val="Compact"/>
              <w:jc w:val="left"/>
            </w:pPr>
            <w:r>
              <w:t xml:space="preserve">Al-Nakheel Commercial Properties W.L.L.</w:t>
            </w:r>
          </w:p>
        </w:tc>
        <w:tc>
          <w:tcPr/>
          <w:p>
            <w:pPr>
              <w:pStyle w:val="Compact"/>
              <w:jc w:val="left"/>
            </w:pPr>
            <w:r>
              <w:t xml:space="preserve">Client Address:</w:t>
            </w:r>
          </w:p>
        </w:tc>
        <w:tc>
          <w:tcPr/>
          <w:p>
            <w:pPr>
              <w:pStyle w:val="Compact"/>
              <w:jc w:val="left"/>
            </w:pPr>
            <w:r>
              <w:t xml:space="preserve">Al-Rawda District, Kuwait City, Kuwait</w:t>
            </w:r>
          </w:p>
        </w:tc>
      </w:tr>
      <w:tr>
        <w:tc>
          <w:tcPr/>
          <w:p>
            <w:pPr>
              <w:pStyle w:val="Compact"/>
              <w:jc w:val="left"/>
            </w:pPr>
            <w:r>
              <w:t xml:space="preserve">Project Location:</w:t>
            </w:r>
          </w:p>
        </w:tc>
        <w:tc>
          <w:tcPr>
            <w:gridSpan w:val="3"/>
          </w:tcPr>
          <w:p>
            <w:pPr>
              <w:pStyle w:val="Compact"/>
              <w:jc w:val="left"/>
            </w:pPr>
            <w:r>
              <w:t xml:space="preserve">Al-Nakheel Business Complex, Al-Rawda, Kuwait City, Kuwait</w:t>
            </w:r>
          </w:p>
        </w:tc>
      </w:tr>
      <w:tr>
        <w:tc>
          <w:tcPr/>
          <w:p>
            <w:pPr>
              <w:pStyle w:val="Compact"/>
              <w:jc w:val="left"/>
            </w:pPr>
            <w:r>
              <w:t xml:space="preserve">Prepared By:</w:t>
            </w:r>
          </w:p>
        </w:tc>
        <w:tc>
          <w:tcPr/>
          <w:p>
            <w:pPr>
              <w:pStyle w:val="Compact"/>
              <w:jc w:val="left"/>
            </w:pPr>
            <w:r>
              <w:t xml:space="preserve">Eng. Khalid Al-Mutawa, Senior Fire Safety Consultant</w:t>
            </w:r>
          </w:p>
        </w:tc>
        <w:tc>
          <w:tcPr/>
          <w:p>
            <w:pPr>
              <w:pStyle w:val="Compact"/>
              <w:jc w:val="left"/>
            </w:pPr>
            <w:r>
              <w:t xml:space="preserve">Approved By:</w:t>
            </w:r>
          </w:p>
        </w:tc>
        <w:tc>
          <w:tcPr/>
          <w:p>
            <w:pPr>
              <w:pStyle w:val="Compact"/>
              <w:jc w:val="left"/>
            </w:pPr>
            <w:r>
              <w:t xml:space="preserve">Mr. Faisal Al-Harbi, Operations Director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Al-Safe Fire Protection &amp; Emergency Services LLC to provide a comprehensive, itemized cost breakdown for the deployment, training, and ongoing operational support of certified</w:t>
      </w:r>
      <w:r>
        <w:t xml:space="preserve"> </w:t>
      </w:r>
      <w:r>
        <w:t xml:space="preserve">Firefighter</w:t>
      </w:r>
      <w:r>
        <w:t xml:space="preserve"> </w:t>
      </w:r>
      <w:r>
        <w:t xml:space="preserve">personnel at the Al-Nakheel Business Complex located in</w:t>
      </w:r>
      <w:r>
        <w:t xml:space="preserve"> </w:t>
      </w:r>
      <w:r>
        <w:t xml:space="preserve">Kuwait Kuwait City</w:t>
      </w:r>
      <w:r>
        <w:t xml:space="preserve">. This document serves as a binding financial proposal and outlines all services, labor costs, equipment provisions, and regulatory compliance measures required to ensure full adherence to the Kuwait Fire and Civil Defense Authority (FCD) standards and the Kuwait Building Code for fire safety.</w:t>
      </w:r>
    </w:p>
    <w:p>
      <w:pPr>
        <w:pStyle w:val="BodyText"/>
      </w:pPr>
      <w:r>
        <w:t xml:space="preserve">The scope of work encompasses the provision of a dedicated on-site</w:t>
      </w:r>
      <w:r>
        <w:t xml:space="preserve"> </w:t>
      </w:r>
      <w:r>
        <w:t xml:space="preserve">Firefighter</w:t>
      </w:r>
      <w:r>
        <w:t xml:space="preserve"> </w:t>
      </w:r>
      <w:r>
        <w:t xml:space="preserve">team, periodic fire safety training for building occupants, quarterly fire drill execution, maintenance of all fire suppression and detection systems, and 24/7 emergency response readiness. All services are to be delivered in strict compliance with the regulations governing fire safety in</w:t>
      </w:r>
      <w:r>
        <w:t xml:space="preserve"> </w:t>
      </w:r>
      <w:r>
        <w:t xml:space="preserve">Kuwait Kuwait City</w:t>
      </w:r>
      <w:r>
        <w:t xml:space="preserve">, including but not limited to the requirements set forth by the Ministry of Interior, the Kuwait Fire and Civil Defense Authority, and the relevant municipal bylaws of the Kuwait City municipality.</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Deployment of certified Firefighter personnel (on-site, 24/7 shift coverage) – Kuwait City operations</w:t>
            </w:r>
          </w:p>
        </w:tc>
        <w:tc>
          <w:tcPr/>
          <w:p>
            <w:pPr>
              <w:pStyle w:val="Compact"/>
              <w:jc w:val="left"/>
            </w:pPr>
            <w:r>
              <w:t xml:space="preserve">6</w:t>
            </w:r>
          </w:p>
        </w:tc>
        <w:tc>
          <w:tcPr/>
          <w:p>
            <w:pPr>
              <w:pStyle w:val="Compact"/>
              <w:jc w:val="left"/>
            </w:pPr>
            <w:r>
              <w:t xml:space="preserve">Firefighters / month</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2</w:t>
            </w:r>
          </w:p>
        </w:tc>
        <w:tc>
          <w:tcPr/>
          <w:p>
            <w:pPr>
              <w:pStyle w:val="Compact"/>
              <w:jc w:val="left"/>
            </w:pPr>
            <w:r>
              <w:t xml:space="preserve">Firefighter supervisor / team leader (senior, 15+ years experience, FCD-certified)</w:t>
            </w:r>
          </w:p>
        </w:tc>
        <w:tc>
          <w:tcPr/>
          <w:p>
            <w:pPr>
              <w:pStyle w:val="Compact"/>
              <w:jc w:val="left"/>
            </w:pPr>
            <w:r>
              <w:t xml:space="preserve">1</w:t>
            </w:r>
          </w:p>
        </w:tc>
        <w:tc>
          <w:tcPr/>
          <w:p>
            <w:pPr>
              <w:pStyle w:val="Compact"/>
              <w:jc w:val="left"/>
            </w:pPr>
            <w:r>
              <w:t xml:space="preserve">Personnel / month</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Personal protective equipment (PPE) for each Firefighter – full turnout gear, SCBA, gloves, boots, helmets (annual provision)</w:t>
            </w:r>
          </w:p>
        </w:tc>
        <w:tc>
          <w:tcPr/>
          <w:p>
            <w:pPr>
              <w:pStyle w:val="Compact"/>
              <w:jc w:val="left"/>
            </w:pPr>
            <w:r>
              <w:t xml:space="preserve">7</w:t>
            </w:r>
          </w:p>
        </w:tc>
        <w:tc>
          <w:tcPr/>
          <w:p>
            <w:pPr>
              <w:pStyle w:val="Compact"/>
              <w:jc w:val="left"/>
            </w:pPr>
            <w:r>
              <w:t xml:space="preserve">Sets / year</w:t>
            </w:r>
          </w:p>
        </w:tc>
        <w:tc>
          <w:tcPr/>
          <w:p>
            <w:pPr>
              <w:pStyle w:val="Compact"/>
              <w:jc w:val="left"/>
            </w:pPr>
            <w:r>
              <w:t xml:space="preserve">310.000</w:t>
            </w:r>
          </w:p>
        </w:tc>
        <w:tc>
          <w:tcPr/>
          <w:p>
            <w:pPr>
              <w:pStyle w:val="Compact"/>
              <w:jc w:val="left"/>
            </w:pPr>
            <w:r>
              <w:t xml:space="preserve">2,170.000</w:t>
            </w:r>
          </w:p>
        </w:tc>
      </w:tr>
      <w:tr>
        <w:tc>
          <w:tcPr/>
          <w:p>
            <w:pPr>
              <w:pStyle w:val="Compact"/>
              <w:jc w:val="left"/>
            </w:pPr>
            <w:r>
              <w:t xml:space="preserve">4</w:t>
            </w:r>
          </w:p>
        </w:tc>
        <w:tc>
          <w:tcPr/>
          <w:p>
            <w:pPr>
              <w:pStyle w:val="Compact"/>
              <w:jc w:val="left"/>
            </w:pPr>
            <w:r>
              <w:t xml:space="preserve">Quarterly fire safety training sessions for building occupants (max 200 participants per session) – conducted in Kuwait City premises</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5</w:t>
            </w:r>
          </w:p>
        </w:tc>
        <w:tc>
          <w:tcPr/>
          <w:p>
            <w:pPr>
              <w:pStyle w:val="Compact"/>
              <w:jc w:val="left"/>
            </w:pPr>
            <w:r>
              <w:t xml:space="preserve">Bi-annual full-scale fire drill execution with Kuwait Fire and Civil Defense Authority coordination</w:t>
            </w:r>
          </w:p>
        </w:tc>
        <w:tc>
          <w:tcPr/>
          <w:p>
            <w:pPr>
              <w:pStyle w:val="Compact"/>
              <w:jc w:val="left"/>
            </w:pPr>
            <w:r>
              <w:t xml:space="preserve">2</w:t>
            </w:r>
          </w:p>
        </w:tc>
        <w:tc>
          <w:tcPr/>
          <w:p>
            <w:pPr>
              <w:pStyle w:val="Compact"/>
              <w:jc w:val="left"/>
            </w:pPr>
            <w:r>
              <w:t xml:space="preserve">Drills / year</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Preventive maintenance of fire alarm, sprinkler, and suppression systems (monthly inspection and servicing)</w:t>
            </w:r>
          </w:p>
        </w:tc>
        <w:tc>
          <w:tcPr/>
          <w:p>
            <w:pPr>
              <w:pStyle w:val="Compact"/>
              <w:jc w:val="left"/>
            </w:pPr>
            <w:r>
              <w:t xml:space="preserve">12</w:t>
            </w:r>
          </w:p>
        </w:tc>
        <w:tc>
          <w:tcPr/>
          <w:p>
            <w:pPr>
              <w:pStyle w:val="Compact"/>
              <w:jc w:val="left"/>
            </w:pPr>
            <w:r>
              <w:t xml:space="preserve">Visits / year</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On-site fire watch station setup (furniture, communication equipment, first-aid kits, signage) – Kuwait City site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8</w:t>
            </w:r>
          </w:p>
        </w:tc>
        <w:tc>
          <w:tcPr/>
          <w:p>
            <w:pPr>
              <w:pStyle w:val="Compact"/>
              <w:jc w:val="left"/>
            </w:pPr>
            <w:r>
              <w:t xml:space="preserve">Annual FCD compliance audit and documentation preparation for Kuwait City municipal inspection</w:t>
            </w:r>
          </w:p>
        </w:tc>
        <w:tc>
          <w:tcPr/>
          <w:p>
            <w:pPr>
              <w:pStyle w:val="Compact"/>
              <w:jc w:val="left"/>
            </w:pPr>
            <w:r>
              <w:t xml:space="preserve">1</w:t>
            </w:r>
          </w:p>
        </w:tc>
        <w:tc>
          <w:tcPr/>
          <w:p>
            <w:pPr>
              <w:pStyle w:val="Compact"/>
              <w:jc w:val="left"/>
            </w:pPr>
            <w:r>
              <w:t xml:space="preserve">Audit / year</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9</w:t>
            </w:r>
          </w:p>
        </w:tc>
        <w:tc>
          <w:tcPr/>
          <w:p>
            <w:pPr>
              <w:pStyle w:val="Compact"/>
              <w:jc w:val="left"/>
            </w:pPr>
            <w:r>
              <w:t xml:space="preserve">Emergency response vehicle (fire tender) on standby within 5-minute radius of Kuwait City site</w:t>
            </w:r>
          </w:p>
        </w:tc>
        <w:tc>
          <w:tcPr/>
          <w:p>
            <w:pPr>
              <w:pStyle w:val="Compact"/>
              <w:jc w:val="left"/>
            </w:pPr>
            <w:r>
              <w:t xml:space="preserve">1</w:t>
            </w:r>
          </w:p>
        </w:tc>
        <w:tc>
          <w:tcPr/>
          <w:p>
            <w:pPr>
              <w:pStyle w:val="Compact"/>
              <w:jc w:val="left"/>
            </w:pPr>
            <w:r>
              <w:t xml:space="preserve">Vehicle / month</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10</w:t>
            </w:r>
          </w:p>
        </w:tc>
        <w:tc>
          <w:tcPr/>
          <w:p>
            <w:pPr>
              <w:pStyle w:val="Compact"/>
              <w:jc w:val="left"/>
            </w:pPr>
            <w:r>
              <w:t xml:space="preserve">Insurance coverage for all Firefighter personnel (workmen's compensation, third-party liability) – Kuwait jurisdiction</w:t>
            </w:r>
          </w:p>
        </w:tc>
        <w:tc>
          <w:tcPr/>
          <w:p>
            <w:pPr>
              <w:pStyle w:val="Compact"/>
              <w:jc w:val="left"/>
            </w:pPr>
            <w:r>
              <w:t xml:space="preserve">7</w:t>
            </w:r>
          </w:p>
        </w:tc>
        <w:tc>
          <w:tcPr/>
          <w:p>
            <w:pPr>
              <w:pStyle w:val="Compact"/>
              <w:jc w:val="left"/>
            </w:pPr>
            <w:r>
              <w:t xml:space="preserve">Persons / year</w:t>
            </w:r>
          </w:p>
        </w:tc>
        <w:tc>
          <w:tcPr/>
          <w:p>
            <w:pPr>
              <w:pStyle w:val="Compact"/>
              <w:jc w:val="left"/>
            </w:pPr>
            <w:r>
              <w:t xml:space="preserve">185.000</w:t>
            </w:r>
          </w:p>
        </w:tc>
        <w:tc>
          <w:tcPr/>
          <w:p>
            <w:pPr>
              <w:pStyle w:val="Compact"/>
              <w:jc w:val="left"/>
            </w:pPr>
            <w:r>
              <w:t xml:space="preserve">1,295.000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(Annual):</w:t>
            </w:r>
          </w:p>
        </w:tc>
        <w:tc>
          <w:tcPr/>
          <w:p>
            <w:pPr>
              <w:pStyle w:val="Compact"/>
              <w:jc w:val="left"/>
            </w:pPr>
            <w:r>
              <w:t xml:space="preserve">35,545.000 KWD</w:t>
            </w:r>
          </w:p>
        </w:tc>
      </w:tr>
      <w:tr>
        <w:tc>
          <w:tcPr>
            <w:gridSpan w:val="5"/>
          </w:tcPr>
          <w:p>
            <w:pPr>
              <w:pStyle w:val="Compact"/>
              <w:jc w:val="right"/>
            </w:pPr>
            <w:r>
              <w:t xml:space="preserve">VAT (5% – Kuwait):</w:t>
            </w:r>
          </w:p>
        </w:tc>
        <w:tc>
          <w:tcPr/>
          <w:p>
            <w:pPr>
              <w:pStyle w:val="Compact"/>
              <w:jc w:val="left"/>
            </w:pPr>
            <w:r>
              <w:t xml:space="preserve">1,777.250 KWD</w:t>
            </w:r>
          </w:p>
        </w:tc>
      </w:tr>
      <w:tr>
        <w:tc>
          <w:tcPr>
            <w:gridSpan w:val="5"/>
          </w:tcPr>
          <w:p>
            <w:pPr>
              <w:pStyle w:val="Compact"/>
              <w:jc w:val="right"/>
            </w:pPr>
            <w:r>
              <w:t xml:space="preserve">Grand Total (Annual):</w:t>
            </w:r>
          </w:p>
        </w:tc>
        <w:tc>
          <w:tcPr/>
          <w:p>
            <w:pPr>
              <w:pStyle w:val="Compact"/>
              <w:jc w:val="left"/>
            </w:pPr>
            <w:r>
              <w:t xml:space="preserve">37,322.250 KWD</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request for services beyond this validity period will require a revised quotation reflecting current market rates and regulatory updates applicable in</w:t>
      </w:r>
      <w:r>
        <w:t xml:space="preserve"> </w:t>
      </w:r>
      <w:r>
        <w:t xml:space="preserve">Kuwait Kuwait City</w:t>
      </w:r>
      <w:r>
        <w:t xml:space="preserve">.</w:t>
      </w:r>
    </w:p>
    <w:p>
      <w:pPr>
        <w:numPr>
          <w:ilvl w:val="0"/>
          <w:numId w:val="1001"/>
        </w:numPr>
        <w:pStyle w:val="Compact"/>
      </w:pPr>
      <w:r>
        <w:t xml:space="preserve">All</w:t>
      </w:r>
      <w:r>
        <w:t xml:space="preserve"> </w:t>
      </w:r>
      <w:r>
        <w:t xml:space="preserve">Firefighter</w:t>
      </w:r>
      <w:r>
        <w:t xml:space="preserve"> </w:t>
      </w:r>
      <w:r>
        <w:t xml:space="preserve">personnel deployed under this agreement shall hold valid Kuwaiti work permits, FCD certification, and current medical fitness certificates. The contractor guarantees that no Firefighter shall be assigned without meeting all statutory requirements of the State of Kuwait.</w:t>
      </w:r>
    </w:p>
    <w:p>
      <w:pPr>
        <w:numPr>
          <w:ilvl w:val="0"/>
          <w:numId w:val="1001"/>
        </w:numPr>
        <w:pStyle w:val="Compact"/>
      </w:pPr>
      <w:r>
        <w:t xml:space="preserve">Payment terms: 50% advance upon contract execution, with the remaining 50% payable in two equal quarterly installments. All payments shall be made in Kuwaiti Dinars (KWD) via bank transfer to the contractor's designated account in Kuwait City.</w:t>
      </w:r>
    </w:p>
    <w:p>
      <w:pPr>
        <w:numPr>
          <w:ilvl w:val="0"/>
          <w:numId w:val="1001"/>
        </w:numPr>
        <w:pStyle w:val="Compact"/>
      </w:pPr>
      <w:r>
        <w:t xml:space="preserve">The contractor shall maintain a minimum response time of five (5) minutes for any fire emergency at the client's premises in Kuwait City. Failure to meet this response time on three or more documented occasions shall entitle the client to a 10% service credit for the affected quarter.</w:t>
      </w:r>
    </w:p>
    <w:p>
      <w:pPr>
        <w:numPr>
          <w:ilvl w:val="0"/>
          <w:numId w:val="1001"/>
        </w:numPr>
        <w:pStyle w:val="Compact"/>
      </w:pPr>
      <w:r>
        <w:t xml:space="preserve">All fire safety training and drill activities shall be conducted in coordination with the Kuwait Fire and Civil Defense Authority and shall comply with the latest editions of the Kuwait Building Code and NFPA standards as adopted in Kuwait.</w:t>
      </w:r>
    </w:p>
    <w:p>
      <w:pPr>
        <w:numPr>
          <w:ilvl w:val="0"/>
          <w:numId w:val="1001"/>
        </w:numPr>
        <w:pStyle w:val="Compact"/>
      </w:pPr>
      <w:r>
        <w:t xml:space="preserve">This Quotation Estimate does not include the cost of capital equipment replacement (e.g., full sprinkler system overhaul, fire pump replacement). Such items, if required, will be subject to a separate Quotation Estimate issued upon written request.</w:t>
      </w:r>
    </w:p>
    <w:p>
      <w:pPr>
        <w:numPr>
          <w:ilvl w:val="0"/>
          <w:numId w:val="1001"/>
        </w:numPr>
        <w:pStyle w:val="Compact"/>
      </w:pPr>
      <w:r>
        <w:t xml:space="preserve">Force majeure events, including but not limited to government-mandated shutdowns, natural disasters, or civil unrest in Kuwait City, shall suspend contractual obligations without penalty to either party.</w:t>
      </w:r>
    </w:p>
    <w:p>
      <w:pPr>
        <w:numPr>
          <w:ilvl w:val="0"/>
          <w:numId w:val="1001"/>
        </w:numPr>
        <w:pStyle w:val="Compact"/>
      </w:pPr>
      <w:r>
        <w:t xml:space="preserve">Disputes arising from this agreement shall be resolved through arbitration in Kuwait City in accordance with the Kuwait Arbitration Law, with proceedings conducted in Arabic.</w:t>
      </w:r>
    </w:p>
    <w:p>
      <w:pPr>
        <w:numPr>
          <w:ilvl w:val="0"/>
          <w:numId w:val="1001"/>
        </w:numPr>
        <w:pStyle w:val="Compact"/>
      </w:pPr>
      <w:r>
        <w:t xml:space="preserve">The contractor reserves the right to substitute individual Firefighter personnel for medical, disciplinary, or operational reasons, provided that the replacement meets or exceeds the qualifications of the outgoing personnel.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Firefighter</w:t>
      </w:r>
      <w:r>
        <w:t xml:space="preserve"> </w:t>
      </w:r>
      <w:r>
        <w:t xml:space="preserve">services at the designated location in</w:t>
      </w:r>
      <w:r>
        <w:t xml:space="preserve"> </w:t>
      </w:r>
      <w:r>
        <w:t xml:space="preserve">Kuwait Kuwait City</w:t>
      </w:r>
      <w:r>
        <w:t xml:space="preserve">. This document, once countersigned by both parties, constitutes a binding service agreement for the period specified.</w:t>
      </w:r>
    </w:p>
    <w:p>
      <w:pPr>
        <w:pStyle w:val="BodyText"/>
      </w:pPr>
      <w:r>
        <w:rPr>
          <w:bCs/>
          <w:b/>
        </w:rPr>
        <w:t xml:space="preserve">For: Al-Safe Fire Protection &amp; Emergency Services LLC</w:t>
      </w:r>
    </w:p>
    <w:p>
      <w:pPr>
        <w:pStyle w:val="BodyText"/>
      </w:pPr>
      <w:r>
        <w:t xml:space="preserve">Name: Mr. Faisal Al-Harbi</w:t>
      </w:r>
      <w:r>
        <w:br/>
      </w:r>
      <w:r>
        <w:t xml:space="preserve">Title: Operations Director</w:t>
      </w:r>
      <w:r>
        <w:br/>
      </w:r>
      <w:r>
        <w:t xml:space="preserve">Signature: _________________________</w:t>
      </w:r>
      <w:r>
        <w:br/>
      </w:r>
      <w:r>
        <w:t xml:space="preserve">Date: _________________________</w:t>
      </w:r>
    </w:p>
    <w:p>
      <w:pPr>
        <w:pStyle w:val="BodyText"/>
      </w:pPr>
      <w:r>
        <w:rPr>
          <w:bCs/>
          <w:b/>
        </w:rPr>
        <w:t xml:space="preserve">For: Al-Nakheel Commercial Properties W.L.L.</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was prepared exclusively for the client named above and is not transferable. All services are to be performed in Kuwait, Kuwait City, in compliance with local laws and regulations. Document Ref: QTE-2025-KW-0472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Kuwait Kuwait City</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