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quotation-estimate"/>
    <w:p>
      <w:pPr>
        <w:pStyle w:val="Heading1"/>
      </w:pPr>
      <w:r>
        <w:t xml:space="preserve">Quotation Estimate</w:t>
      </w:r>
    </w:p>
    <w:p>
      <w:pPr>
        <w:pStyle w:val="FirstParagraph"/>
      </w:pPr>
      <w:r>
        <w:t xml:space="preserve">Professional Firefighter Equipment &amp; Safety Systems Supply</w:t>
      </w:r>
    </w:p>
    <w:p>
      <w:pPr>
        <w:pStyle w:val="BodyText"/>
      </w:pPr>
      <w:r>
        <w:t xml:space="preserve">Destination: Saint Petersburg, Russia</w:t>
      </w:r>
    </w:p>
    <w:bookmarkEnd w:id="20"/>
    <w:p>
      <w:pPr>
        <w:pStyle w:val="BodyText"/>
      </w:pPr>
      <w:r>
        <w:rPr>
          <w:bCs/>
          <w:b/>
        </w:rPr>
        <w:t xml:space="preserve">Quotation Reference No.:</w:t>
      </w:r>
      <w:r>
        <w:t xml:space="preserve"> </w:t>
      </w:r>
      <w:r>
        <w:t xml:space="preserve">QTE-SPB-2025-0417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For:</w:t>
      </w:r>
      <w:r>
        <w:br/>
      </w:r>
      <w:r>
        <w:t xml:space="preserve">Saint Petersburg City Fire Department</w:t>
      </w:r>
      <w:r>
        <w:br/>
      </w:r>
      <w:r>
        <w:t xml:space="preserve">12 Nevsky Prospekt, Saint Petersburg</w:t>
      </w:r>
      <w:r>
        <w:br/>
      </w:r>
      <w:r>
        <w:t xml:space="preserve">191025, Russian Federation</w:t>
      </w:r>
    </w:p>
    <w:p>
      <w:pPr>
        <w:pStyle w:val="BodyText"/>
      </w:pPr>
      <w:r>
        <w:rPr>
          <w:bCs/>
          <w:b/>
        </w:rPr>
        <w:t xml:space="preserve">Prepared By:</w:t>
      </w:r>
      <w:r>
        <w:br/>
      </w:r>
      <w:r>
        <w:t xml:space="preserve">NordFire Industrial Supply Co.</w:t>
      </w:r>
      <w:r>
        <w:br/>
      </w:r>
      <w:r>
        <w:t xml:space="preserve">45 Industrial Avenue, Helsinki</w:t>
      </w:r>
      <w:r>
        <w:br/>
      </w:r>
      <w:r>
        <w:t xml:space="preserve">Finland</w:t>
      </w:r>
    </w:p>
    <w:p>
      <w:pPr>
        <w:pStyle w:val="BodyText"/>
      </w:pPr>
      <w:r>
        <w:t xml:space="preserve">1. Scope of Quotation Estimate</w:t>
      </w:r>
    </w:p>
    <w:p>
      <w:pPr>
        <w:pStyle w:val="BodyText"/>
      </w:pPr>
      <w:r>
        <w:t xml:space="preserve">This</w:t>
      </w:r>
      <w:r>
        <w:t xml:space="preserve"> </w:t>
      </w:r>
      <w:r>
        <w:t xml:space="preserve">Quotation Estimate</w:t>
      </w:r>
      <w:r>
        <w:t xml:space="preserve"> </w:t>
      </w:r>
      <w:r>
        <w:t xml:space="preserve">is issued in response to the formal request submitted by the Saint Petersburg City Fire Department for the procurement of comprehensive</w:t>
      </w:r>
      <w:r>
        <w:t xml:space="preserve"> </w:t>
      </w:r>
      <w:r>
        <w:t xml:space="preserve">Firefighter</w:t>
      </w:r>
      <w:r>
        <w:t xml:space="preserve"> </w:t>
      </w:r>
      <w:r>
        <w:t xml:space="preserve">personal protective equipment (PPE), structural firefighting apparatus, and integrated safety systems. All items specified herein are designed to meet or exceed the requirements of GOST R 12.4.280-2014 (Russian national standard for firefighter protective clothing) and EN 469:2020 (European standard for protective clothing for firefighters). The equipment is intended for deployment across all operational</w:t>
      </w:r>
      <w:r>
        <w:t xml:space="preserve"> </w:t>
      </w:r>
      <w:r>
        <w:t xml:space="preserve">Firefighter</w:t>
      </w:r>
      <w:r>
        <w:t xml:space="preserve"> </w:t>
      </w:r>
      <w:r>
        <w:t xml:space="preserve">stations within the administrative boundaries of Saint Petersburg, Russia, including the historic center districts, the Krasnogvardeysky industrial zone, and the coastal waterfront facilities.</w:t>
      </w:r>
    </w:p>
    <w:p>
      <w:pPr>
        <w:pStyle w:val="BodyText"/>
      </w:pPr>
      <w:r>
        <w:t xml:space="preserve">This</w:t>
      </w:r>
      <w:r>
        <w:t xml:space="preserve"> </w:t>
      </w:r>
      <w:r>
        <w:t xml:space="preserve">Quotation Estimate</w:t>
      </w:r>
      <w:r>
        <w:t xml:space="preserve"> </w:t>
      </w:r>
      <w:r>
        <w:t xml:space="preserve">covers the full lifecycle of supply, including manufacturing, quality inspection, international logistics to Saint Petersburg, customs clearance at the Port of Saint Petersburg, final delivery to designated</w:t>
      </w:r>
      <w:r>
        <w:t xml:space="preserve"> </w:t>
      </w:r>
      <w:r>
        <w:t xml:space="preserve">Firefighter</w:t>
      </w:r>
      <w:r>
        <w:t xml:space="preserve"> </w:t>
      </w:r>
      <w:r>
        <w:t xml:space="preserve">depots, and a 12-month post-delivery warranty period. All pricing is presented in Russian Rubles (RUB) with an equivalent reference in Euros (EUR).</w:t>
      </w:r>
    </w:p>
    <w:p>
      <w:pPr>
        <w:pStyle w:val="BodyText"/>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Firefighter Turnout Coat (Structural)</w:t>
            </w:r>
          </w:p>
        </w:tc>
        <w:tc>
          <w:tcPr/>
          <w:p>
            <w:pPr>
              <w:pStyle w:val="Compact"/>
              <w:jc w:val="left"/>
            </w:pPr>
            <w:r>
              <w:t xml:space="preserve">4-layer Nomex/Kevlar, GOST R 12.4.280 compliant, reflective trim, size range S–XXL</w:t>
            </w:r>
          </w:p>
        </w:tc>
        <w:tc>
          <w:tcPr/>
          <w:p>
            <w:pPr>
              <w:pStyle w:val="Compact"/>
              <w:jc w:val="left"/>
            </w:pPr>
            <w:r>
              <w:t xml:space="preserve">250</w:t>
            </w:r>
          </w:p>
        </w:tc>
        <w:tc>
          <w:tcPr/>
          <w:p>
            <w:pPr>
              <w:pStyle w:val="Compact"/>
              <w:jc w:val="left"/>
            </w:pPr>
            <w:r>
              <w:t xml:space="preserve">48,500</w:t>
            </w:r>
          </w:p>
        </w:tc>
        <w:tc>
          <w:tcPr/>
          <w:p>
            <w:pPr>
              <w:pStyle w:val="Compact"/>
              <w:jc w:val="left"/>
            </w:pPr>
            <w:r>
              <w:t xml:space="preserve">12,125,000</w:t>
            </w:r>
          </w:p>
        </w:tc>
      </w:tr>
      <w:tr>
        <w:tc>
          <w:tcPr/>
          <w:p>
            <w:pPr>
              <w:pStyle w:val="Compact"/>
              <w:jc w:val="left"/>
            </w:pPr>
            <w:r>
              <w:t xml:space="preserve">02</w:t>
            </w:r>
          </w:p>
        </w:tc>
        <w:tc>
          <w:tcPr/>
          <w:p>
            <w:pPr>
              <w:pStyle w:val="Compact"/>
              <w:jc w:val="left"/>
            </w:pPr>
            <w:r>
              <w:t xml:space="preserve">Firefighter Turnout Trousers (Structural)</w:t>
            </w:r>
          </w:p>
        </w:tc>
        <w:tc>
          <w:tcPr/>
          <w:p>
            <w:pPr>
              <w:pStyle w:val="Compact"/>
              <w:jc w:val="left"/>
            </w:pPr>
            <w:r>
              <w:t xml:space="preserve">4-layer Nomex/Kevlar, articulated knee, GOST R 12.4.280 compliant, size range S–XXL</w:t>
            </w:r>
          </w:p>
        </w:tc>
        <w:tc>
          <w:tcPr/>
          <w:p>
            <w:pPr>
              <w:pStyle w:val="Compact"/>
              <w:jc w:val="left"/>
            </w:pPr>
            <w:r>
              <w:t xml:space="preserve">250</w:t>
            </w:r>
          </w:p>
        </w:tc>
        <w:tc>
          <w:tcPr/>
          <w:p>
            <w:pPr>
              <w:pStyle w:val="Compact"/>
              <w:jc w:val="left"/>
            </w:pPr>
            <w:r>
              <w:t xml:space="preserve">42,000</w:t>
            </w:r>
          </w:p>
        </w:tc>
        <w:tc>
          <w:tcPr/>
          <w:p>
            <w:pPr>
              <w:pStyle w:val="Compact"/>
              <w:jc w:val="left"/>
            </w:pPr>
            <w:r>
              <w:t xml:space="preserve">10,500,000</w:t>
            </w:r>
          </w:p>
        </w:tc>
      </w:tr>
      <w:tr>
        <w:tc>
          <w:tcPr/>
          <w:p>
            <w:pPr>
              <w:pStyle w:val="Compact"/>
              <w:jc w:val="left"/>
            </w:pPr>
            <w:r>
              <w:t xml:space="preserve">03</w:t>
            </w:r>
          </w:p>
        </w:tc>
        <w:tc>
          <w:tcPr/>
          <w:p>
            <w:pPr>
              <w:pStyle w:val="Compact"/>
              <w:jc w:val="left"/>
            </w:pPr>
            <w:r>
              <w:t xml:space="preserve">Firefighter SCBA (Self-Contained Breathing Apparatus)</w:t>
            </w:r>
          </w:p>
        </w:tc>
        <w:tc>
          <w:tcPr/>
          <w:p>
            <w:pPr>
              <w:pStyle w:val="Compact"/>
              <w:jc w:val="left"/>
            </w:pPr>
            <w:r>
              <w:t xml:space="preserve">3000 psi, 6.8L composite cylinder, 45-min runtime, EN 137 certified</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04</w:t>
            </w:r>
          </w:p>
        </w:tc>
        <w:tc>
          <w:tcPr/>
          <w:p>
            <w:pPr>
              <w:pStyle w:val="Compact"/>
              <w:jc w:val="left"/>
            </w:pPr>
            <w:r>
              <w:t xml:space="preserve">Firefighter Helmet (Structural)</w:t>
            </w:r>
          </w:p>
        </w:tc>
        <w:tc>
          <w:tcPr/>
          <w:p>
            <w:pPr>
              <w:pStyle w:val="Compact"/>
              <w:jc w:val="left"/>
            </w:pPr>
            <w:r>
              <w:t xml:space="preserve">ABS shell, face shield, chin strap, EN 443 certified, with Saint Petersburg departmental marking</w:t>
            </w:r>
          </w:p>
        </w:tc>
        <w:tc>
          <w:tcPr/>
          <w:p>
            <w:pPr>
              <w:pStyle w:val="Compact"/>
              <w:jc w:val="left"/>
            </w:pPr>
            <w:r>
              <w:t xml:space="preserve">250</w:t>
            </w:r>
          </w:p>
        </w:tc>
        <w:tc>
          <w:tcPr/>
          <w:p>
            <w:pPr>
              <w:pStyle w:val="Compact"/>
              <w:jc w:val="left"/>
            </w:pPr>
            <w:r>
              <w:t xml:space="preserve">18,750</w:t>
            </w:r>
          </w:p>
        </w:tc>
        <w:tc>
          <w:tcPr/>
          <w:p>
            <w:pPr>
              <w:pStyle w:val="Compact"/>
              <w:jc w:val="left"/>
            </w:pPr>
            <w:r>
              <w:t xml:space="preserve">4,687,500</w:t>
            </w:r>
          </w:p>
        </w:tc>
      </w:tr>
      <w:tr>
        <w:tc>
          <w:tcPr/>
          <w:p>
            <w:pPr>
              <w:pStyle w:val="Compact"/>
              <w:jc w:val="left"/>
            </w:pPr>
            <w:r>
              <w:t xml:space="preserve">05</w:t>
            </w:r>
          </w:p>
        </w:tc>
        <w:tc>
          <w:tcPr/>
          <w:p>
            <w:pPr>
              <w:pStyle w:val="Compact"/>
              <w:jc w:val="left"/>
            </w:pPr>
            <w:r>
              <w:t xml:space="preserve">Firefighter Protective Gloves (Structural)</w:t>
            </w:r>
          </w:p>
        </w:tc>
        <w:tc>
          <w:tcPr/>
          <w:p>
            <w:pPr>
              <w:pStyle w:val="Compact"/>
              <w:jc w:val="left"/>
            </w:pPr>
            <w:r>
              <w:t xml:space="preserve">3-layer Kevlar/leather, EN 659 certified, thermal resistance to 250°C</w:t>
            </w:r>
          </w:p>
        </w:tc>
        <w:tc>
          <w:tcPr/>
          <w:p>
            <w:pPr>
              <w:pStyle w:val="Compact"/>
              <w:jc w:val="left"/>
            </w:pPr>
            <w:r>
              <w:t xml:space="preserve">500</w:t>
            </w:r>
          </w:p>
        </w:tc>
        <w:tc>
          <w:tcPr/>
          <w:p>
            <w:pPr>
              <w:pStyle w:val="Compact"/>
              <w:jc w:val="left"/>
            </w:pPr>
            <w:r>
              <w:t xml:space="preserve">6,200</w:t>
            </w:r>
          </w:p>
        </w:tc>
        <w:tc>
          <w:tcPr/>
          <w:p>
            <w:pPr>
              <w:pStyle w:val="Compact"/>
              <w:jc w:val="left"/>
            </w:pPr>
            <w:r>
              <w:t xml:space="preserve">3,100,000</w:t>
            </w:r>
          </w:p>
        </w:tc>
      </w:tr>
      <w:tr>
        <w:tc>
          <w:tcPr/>
          <w:p>
            <w:pPr>
              <w:pStyle w:val="Compact"/>
              <w:jc w:val="left"/>
            </w:pPr>
            <w:r>
              <w:t xml:space="preserve">06</w:t>
            </w:r>
          </w:p>
        </w:tc>
        <w:tc>
          <w:tcPr/>
          <w:p>
            <w:pPr>
              <w:pStyle w:val="Compact"/>
              <w:jc w:val="left"/>
            </w:pPr>
            <w:r>
              <w:t xml:space="preserve">Firefighter Safety Boots (Structural)</w:t>
            </w:r>
          </w:p>
        </w:tc>
        <w:tc>
          <w:tcPr/>
          <w:p>
            <w:pPr>
              <w:pStyle w:val="Compact"/>
              <w:jc w:val="left"/>
            </w:pPr>
            <w:r>
              <w:t xml:space="preserve">Steel toe, metatarsal guard, oil-resistant sole, EN ISO 20345 S3, size 38–48</w:t>
            </w:r>
          </w:p>
        </w:tc>
        <w:tc>
          <w:tcPr/>
          <w:p>
            <w:pPr>
              <w:pStyle w:val="Compact"/>
              <w:jc w:val="left"/>
            </w:pPr>
            <w:r>
              <w:t xml:space="preserve">250</w:t>
            </w:r>
          </w:p>
        </w:tc>
        <w:tc>
          <w:tcPr/>
          <w:p>
            <w:pPr>
              <w:pStyle w:val="Compact"/>
              <w:jc w:val="left"/>
            </w:pPr>
            <w:r>
              <w:t xml:space="preserve">22,400</w:t>
            </w:r>
          </w:p>
        </w:tc>
        <w:tc>
          <w:tcPr/>
          <w:p>
            <w:pPr>
              <w:pStyle w:val="Compact"/>
              <w:jc w:val="left"/>
            </w:pPr>
            <w:r>
              <w:t xml:space="preserve">5,600,000</w:t>
            </w:r>
          </w:p>
        </w:tc>
      </w:tr>
      <w:tr>
        <w:tc>
          <w:tcPr/>
          <w:p>
            <w:pPr>
              <w:pStyle w:val="Compact"/>
              <w:jc w:val="left"/>
            </w:pPr>
            <w:r>
              <w:t xml:space="preserve">07</w:t>
            </w:r>
          </w:p>
        </w:tc>
        <w:tc>
          <w:tcPr/>
          <w:p>
            <w:pPr>
              <w:pStyle w:val="Compact"/>
              <w:jc w:val="left"/>
            </w:pPr>
            <w:r>
              <w:t xml:space="preserve">Firefighter Thermal Imaging Camera</w:t>
            </w:r>
          </w:p>
        </w:tc>
        <w:tc>
          <w:tcPr/>
          <w:p>
            <w:pPr>
              <w:pStyle w:val="Compact"/>
              <w:jc w:val="left"/>
            </w:pPr>
            <w:r>
              <w:t xml:space="preserve">640x480 resolution, 900K sensitivity, 8-hour battery, IP67 rated, EN 1364 compliant</w:t>
            </w:r>
          </w:p>
        </w:tc>
        <w:tc>
          <w:tcPr/>
          <w:p>
            <w:pPr>
              <w:pStyle w:val="Compact"/>
              <w:jc w:val="left"/>
            </w:pPr>
            <w:r>
              <w:t xml:space="preserve">30</w:t>
            </w:r>
          </w:p>
        </w:tc>
        <w:tc>
          <w:tcPr/>
          <w:p>
            <w:pPr>
              <w:pStyle w:val="Compact"/>
              <w:jc w:val="left"/>
            </w:pPr>
            <w:r>
              <w:t xml:space="preserve">320,000</w:t>
            </w:r>
          </w:p>
        </w:tc>
        <w:tc>
          <w:tcPr/>
          <w:p>
            <w:pPr>
              <w:pStyle w:val="Compact"/>
              <w:jc w:val="left"/>
            </w:pPr>
            <w:r>
              <w:t xml:space="preserve">9,600,000</w:t>
            </w:r>
          </w:p>
        </w:tc>
      </w:tr>
      <w:tr>
        <w:tc>
          <w:tcPr/>
          <w:p>
            <w:pPr>
              <w:pStyle w:val="Compact"/>
              <w:jc w:val="left"/>
            </w:pPr>
            <w:r>
              <w:t xml:space="preserve">08</w:t>
            </w:r>
          </w:p>
        </w:tc>
        <w:tc>
          <w:tcPr/>
          <w:p>
            <w:pPr>
              <w:pStyle w:val="Compact"/>
              <w:jc w:val="left"/>
            </w:pPr>
            <w:r>
              <w:t xml:space="preserve">Firefighter Rescue Straps &amp; Harness Kit</w:t>
            </w:r>
          </w:p>
        </w:tc>
        <w:tc>
          <w:tcPr/>
          <w:p>
            <w:pPr>
              <w:pStyle w:val="Compact"/>
              <w:jc w:val="left"/>
            </w:pPr>
            <w:r>
              <w:t xml:space="preserve">Full-body harness, 220 kg load rating, EN 361/363 certified, with carabiners</w:t>
            </w:r>
          </w:p>
        </w:tc>
        <w:tc>
          <w:tcPr/>
          <w:p>
            <w:pPr>
              <w:pStyle w:val="Compact"/>
              <w:jc w:val="left"/>
            </w:pPr>
            <w:r>
              <w:t xml:space="preserve">100</w:t>
            </w:r>
          </w:p>
        </w:tc>
        <w:tc>
          <w:tcPr/>
          <w:p>
            <w:pPr>
              <w:pStyle w:val="Compact"/>
              <w:jc w:val="left"/>
            </w:pPr>
            <w:r>
              <w:t xml:space="preserve">14,800</w:t>
            </w:r>
          </w:p>
        </w:tc>
        <w:tc>
          <w:tcPr/>
          <w:p>
            <w:pPr>
              <w:pStyle w:val="Compact"/>
              <w:jc w:val="left"/>
            </w:pPr>
            <w:r>
              <w:t xml:space="preserve">1,480,000</w:t>
            </w:r>
          </w:p>
        </w:tc>
      </w:tr>
      <w:tr>
        <w:tc>
          <w:tcPr/>
          <w:p>
            <w:pPr>
              <w:pStyle w:val="Compact"/>
              <w:jc w:val="left"/>
            </w:pPr>
            <w:r>
              <w:t xml:space="preserve">09</w:t>
            </w:r>
          </w:p>
        </w:tc>
        <w:tc>
          <w:tcPr/>
          <w:p>
            <w:pPr>
              <w:pStyle w:val="Compact"/>
              <w:jc w:val="left"/>
            </w:pPr>
            <w:r>
              <w:t xml:space="preserve">Firefighter Radio Communication Set</w:t>
            </w:r>
          </w:p>
        </w:tc>
        <w:tc>
          <w:tcPr/>
          <w:p>
            <w:pPr>
              <w:pStyle w:val="Compact"/>
              <w:jc w:val="left"/>
            </w:pPr>
            <w:r>
              <w:t xml:space="preserve">UHF 400–470 MHz, IP68, 12-hour battery, encrypted, compatible with Saint Petersburg emergency network</w:t>
            </w:r>
          </w:p>
        </w:tc>
        <w:tc>
          <w:tcPr/>
          <w:p>
            <w:pPr>
              <w:pStyle w:val="Compact"/>
              <w:jc w:val="left"/>
            </w:pPr>
            <w:r>
              <w:t xml:space="preserve">250</w:t>
            </w:r>
          </w:p>
        </w:tc>
        <w:tc>
          <w:tcPr/>
          <w:p>
            <w:pPr>
              <w:pStyle w:val="Compact"/>
              <w:jc w:val="left"/>
            </w:pPr>
            <w:r>
              <w:t xml:space="preserve">38,000</w:t>
            </w:r>
          </w:p>
        </w:tc>
        <w:tc>
          <w:tcPr/>
          <w:p>
            <w:pPr>
              <w:pStyle w:val="Compact"/>
              <w:jc w:val="left"/>
            </w:pPr>
            <w:r>
              <w:t xml:space="preserve">9,500,000</w:t>
            </w:r>
          </w:p>
        </w:tc>
      </w:tr>
      <w:tr>
        <w:tc>
          <w:tcPr/>
          <w:p>
            <w:pPr>
              <w:pStyle w:val="Compact"/>
              <w:jc w:val="left"/>
            </w:pPr>
            <w:r>
              <w:t xml:space="preserve">10</w:t>
            </w:r>
          </w:p>
        </w:tc>
        <w:tc>
          <w:tcPr/>
          <w:p>
            <w:pPr>
              <w:pStyle w:val="Compact"/>
              <w:jc w:val="left"/>
            </w:pPr>
            <w:r>
              <w:t xml:space="preserve">Firefighter Decontamination Station (Portable)</w:t>
            </w:r>
          </w:p>
        </w:tc>
        <w:tc>
          <w:tcPr/>
          <w:p>
            <w:pPr>
              <w:pStyle w:val="Compact"/>
              <w:jc w:val="left"/>
            </w:pPr>
            <w:r>
              <w:t xml:space="preserve">Modular 4-stage system, 200L water tank, chemical-resistant, foldable design</w:t>
            </w:r>
          </w:p>
        </w:tc>
        <w:tc>
          <w:tcPr/>
          <w:p>
            <w:pPr>
              <w:pStyle w:val="Compact"/>
              <w:jc w:val="left"/>
            </w:pPr>
            <w:r>
              <w:t xml:space="preserve">15</w:t>
            </w:r>
          </w:p>
        </w:tc>
        <w:tc>
          <w:tcPr/>
          <w:p>
            <w:pPr>
              <w:pStyle w:val="Compact"/>
              <w:jc w:val="left"/>
            </w:pPr>
            <w:r>
              <w:t xml:space="preserve">450,000</w:t>
            </w:r>
          </w:p>
        </w:tc>
        <w:tc>
          <w:tcPr/>
          <w:p>
            <w:pPr>
              <w:pStyle w:val="Compact"/>
              <w:jc w:val="left"/>
            </w:pPr>
            <w:r>
              <w:t xml:space="preserve">6,750,000</w:t>
            </w:r>
          </w:p>
        </w:tc>
      </w:tr>
    </w:tbl>
    <w:p>
      <w:pPr>
        <w:pStyle w:val="BodyText"/>
      </w:pPr>
      <w:r>
        <w:t xml:space="preserve">3. Quotation Estimate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Items)</w:t>
            </w:r>
          </w:p>
        </w:tc>
        <w:tc>
          <w:tcPr/>
          <w:p>
            <w:pPr>
              <w:pStyle w:val="Compact"/>
              <w:jc w:val="right"/>
            </w:pPr>
            <w:r>
              <w:t xml:space="preserve">95,542,500 RUB</w:t>
            </w:r>
          </w:p>
        </w:tc>
      </w:tr>
      <w:tr>
        <w:tc>
          <w:tcPr/>
          <w:p>
            <w:pPr>
              <w:pStyle w:val="Compact"/>
              <w:jc w:val="left"/>
            </w:pPr>
            <w:r>
              <w:t xml:space="preserve">International Freight to Port of Saint Petersburg</w:t>
            </w:r>
          </w:p>
        </w:tc>
        <w:tc>
          <w:tcPr/>
          <w:p>
            <w:pPr>
              <w:pStyle w:val="Compact"/>
              <w:jc w:val="right"/>
            </w:pPr>
            <w:r>
              <w:t xml:space="preserve">3,200,000 RUB</w:t>
            </w:r>
          </w:p>
        </w:tc>
      </w:tr>
      <w:tr>
        <w:tc>
          <w:tcPr/>
          <w:p>
            <w:pPr>
              <w:pStyle w:val="Compact"/>
              <w:jc w:val="left"/>
            </w:pPr>
            <w:r>
              <w:t xml:space="preserve">Customs Duties &amp; Import Tax (Russia)</w:t>
            </w:r>
          </w:p>
        </w:tc>
        <w:tc>
          <w:tcPr/>
          <w:p>
            <w:pPr>
              <w:pStyle w:val="Compact"/>
              <w:jc w:val="right"/>
            </w:pPr>
            <w:r>
              <w:t xml:space="preserve">4,777,125 RUB</w:t>
            </w:r>
          </w:p>
        </w:tc>
      </w:tr>
      <w:tr>
        <w:tc>
          <w:tcPr/>
          <w:p>
            <w:pPr>
              <w:pStyle w:val="Compact"/>
              <w:jc w:val="left"/>
            </w:pPr>
            <w:r>
              <w:t xml:space="preserve">Local Delivery &amp; Installation (Saint Petersburg)</w:t>
            </w:r>
          </w:p>
        </w:tc>
        <w:tc>
          <w:tcPr/>
          <w:p>
            <w:pPr>
              <w:pStyle w:val="Compact"/>
              <w:jc w:val="right"/>
            </w:pPr>
            <w:r>
              <w:t xml:space="preserve">1,850,000 RUB</w:t>
            </w:r>
          </w:p>
        </w:tc>
      </w:tr>
      <w:tr>
        <w:tc>
          <w:tcPr/>
          <w:p>
            <w:pPr>
              <w:pStyle w:val="Compact"/>
              <w:jc w:val="left"/>
            </w:pPr>
            <w:r>
              <w:t xml:space="preserve">VAT (20% – Russian Federation)</w:t>
            </w:r>
          </w:p>
        </w:tc>
        <w:tc>
          <w:tcPr/>
          <w:p>
            <w:pPr>
              <w:pStyle w:val="Compact"/>
              <w:jc w:val="right"/>
            </w:pPr>
            <w:r>
              <w:t xml:space="preserve">21,388,510 RUB</w:t>
            </w:r>
          </w:p>
        </w:tc>
      </w:tr>
      <w:tr>
        <w:tc>
          <w:tcPr/>
          <w:p>
            <w:pPr>
              <w:pStyle w:val="Compact"/>
              <w:jc w:val="left"/>
            </w:pPr>
            <w:r>
              <w:t xml:space="preserve">GRAND TOTAL</w:t>
            </w:r>
          </w:p>
        </w:tc>
        <w:tc>
          <w:tcPr/>
          <w:p>
            <w:pPr>
              <w:pStyle w:val="Compact"/>
              <w:jc w:val="right"/>
            </w:pPr>
            <w:r>
              <w:t xml:space="preserve">126,758,135 RUB</w:t>
            </w:r>
          </w:p>
        </w:tc>
      </w:tr>
      <w:tr>
        <w:tc>
          <w:tcPr/>
          <w:p>
            <w:pPr>
              <w:pStyle w:val="Compact"/>
              <w:jc w:val="left"/>
            </w:pPr>
            <w:r>
              <w:t xml:space="preserve">Approx. EUR Equivalent</w:t>
            </w:r>
          </w:p>
        </w:tc>
        <w:tc>
          <w:tcPr/>
          <w:p>
            <w:pPr>
              <w:pStyle w:val="Compact"/>
              <w:jc w:val="right"/>
            </w:pPr>
            <w:r>
              <w:t xml:space="preserve">≈ 1,312,400 EUR</w:t>
            </w:r>
          </w:p>
        </w:tc>
      </w:tr>
    </w:tbl>
    <w:p>
      <w:pPr>
        <w:pStyle w:val="BodyText"/>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90 calendar days from the date of issue. After this period, pricing may be subject to revision due to currency fluctuations or supply chain adjustments.</w:t>
      </w:r>
    </w:p>
    <w:p>
      <w:pPr>
        <w:numPr>
          <w:ilvl w:val="0"/>
          <w:numId w:val="1001"/>
        </w:numPr>
        <w:pStyle w:val="Compact"/>
      </w:pPr>
      <w:r>
        <w:rPr>
          <w:bCs/>
          <w:b/>
        </w:rPr>
        <w:t xml:space="preserve">Payment Terms:</w:t>
      </w:r>
      <w:r>
        <w:t xml:space="preserve"> </w:t>
      </w:r>
      <w:r>
        <w:t xml:space="preserve">40% advance payment upon contract signing; 50% upon shipment confirmation from the manufacturing facility; 10% upon verified delivery and acceptance at the designated Firefighter depot in Saint Petersburg, Russia.</w:t>
      </w:r>
    </w:p>
    <w:p>
      <w:pPr>
        <w:numPr>
          <w:ilvl w:val="0"/>
          <w:numId w:val="1001"/>
        </w:numPr>
        <w:pStyle w:val="Compact"/>
      </w:pPr>
      <w:r>
        <w:rPr>
          <w:bCs/>
          <w:b/>
        </w:rPr>
        <w:t xml:space="preserve">Delivery Timeline:</w:t>
      </w:r>
      <w:r>
        <w:t xml:space="preserve"> </w:t>
      </w:r>
      <w:r>
        <w:t xml:space="preserve">Full delivery of all Firefighter equipment items to Saint Petersburg shall be completed within 120 calendar days from the date of contract execution. Partial deliveries may be arranged by mutual agreement.</w:t>
      </w:r>
    </w:p>
    <w:p>
      <w:pPr>
        <w:numPr>
          <w:ilvl w:val="0"/>
          <w:numId w:val="1001"/>
        </w:numPr>
        <w:pStyle w:val="Compact"/>
      </w:pPr>
      <w:r>
        <w:rPr>
          <w:bCs/>
          <w:b/>
        </w:rPr>
        <w:t xml:space="preserve">Warranty:</w:t>
      </w:r>
      <w:r>
        <w:t xml:space="preserve"> </w:t>
      </w:r>
      <w:r>
        <w:t xml:space="preserve">All Firefighter PPE items carry a minimum 24-month manufacturer warranty. SCBA units and electronic devices (thermal imaging cameras, radios) carry a 36-month warranty with on-site service coverage within Saint Petersburg.</w:t>
      </w:r>
    </w:p>
    <w:p>
      <w:pPr>
        <w:numPr>
          <w:ilvl w:val="0"/>
          <w:numId w:val="1001"/>
        </w:numPr>
        <w:pStyle w:val="Compact"/>
      </w:pPr>
      <w:r>
        <w:rPr>
          <w:bCs/>
          <w:b/>
        </w:rPr>
        <w:t xml:space="preserve">Compliance:</w:t>
      </w:r>
      <w:r>
        <w:t xml:space="preserve"> </w:t>
      </w:r>
      <w:r>
        <w:t xml:space="preserve">All Firefighter equipment supplied under this Quotation Estimate shall comply with GOST R standards applicable in the Russian Federation and shall be accompanied by full certification documentation in both Russian and English.</w:t>
      </w:r>
    </w:p>
    <w:p>
      <w:pPr>
        <w:numPr>
          <w:ilvl w:val="0"/>
          <w:numId w:val="1001"/>
        </w:numPr>
        <w:pStyle w:val="Compact"/>
      </w:pPr>
      <w:r>
        <w:rPr>
          <w:bCs/>
          <w:b/>
        </w:rPr>
        <w:t xml:space="preserve">Force Majeure:</w:t>
      </w:r>
      <w:r>
        <w:t xml:space="preserve"> </w:t>
      </w:r>
      <w:r>
        <w:t xml:space="preserve">Neither party shall be held liable for delays caused by events beyond reasonable control, including but not limited to port closures at Saint Petersburg, sanctions-related logistics disruptions, or natural disasters.</w:t>
      </w:r>
    </w:p>
    <w:p>
      <w:pPr>
        <w:numPr>
          <w:ilvl w:val="0"/>
          <w:numId w:val="1001"/>
        </w:numPr>
        <w:pStyle w:val="Compact"/>
      </w:pPr>
      <w:r>
        <w:rPr>
          <w:bCs/>
          <w:b/>
        </w:rPr>
        <w:t xml:space="preserve">Governing Law:</w:t>
      </w:r>
      <w:r>
        <w:t xml:space="preserve"> </w:t>
      </w:r>
      <w:r>
        <w:t xml:space="preserve">This Quotation Estimate and any resulting contract shall be governed by the commercial law of the Russian Federation. Disputes shall be resolved through arbitration at the International Commercial Arbitration Court at the Chamber of Commerce and Industry of the Russian Federation in Moscow.</w:t>
      </w:r>
    </w:p>
    <w:p>
      <w:pPr>
        <w:pStyle w:val="FirstParagraph"/>
      </w:pPr>
      <w:r>
        <w:t xml:space="preserve">5. Acceptance &amp; Authorization</w:t>
      </w:r>
    </w:p>
    <w:p>
      <w:pPr>
        <w:pStyle w:val="BodyText"/>
      </w:pPr>
      <w:r>
        <w:t xml:space="preserve">By signing below, the authorized representative of the Saint Petersburg City Fire Department acknowledges receipt of this Quotation Estimate and confirms that all Firefighter equipment specifications, pricing, and delivery terms have been reviewed and accepted. This signature constitutes a binding acceptance of the terms outlined in this document.</w:t>
      </w:r>
    </w:p>
    <w:p>
      <w:pPr>
        <w:pStyle w:val="BodyText"/>
      </w:pPr>
      <w:r>
        <w:rPr>
          <w:bCs/>
          <w:b/>
        </w:rPr>
        <w:t xml:space="preserve">For NordFire Industrial Supply Co.</w:t>
      </w:r>
    </w:p>
    <w:p>
      <w:pPr>
        <w:pStyle w:val="BodyText"/>
      </w:pPr>
      <w:r>
        <w:t xml:space="preserve">Authorized Signatory &amp; Date</w:t>
      </w:r>
    </w:p>
    <w:p>
      <w:pPr>
        <w:pStyle w:val="BodyText"/>
      </w:pPr>
      <w:r>
        <w:rPr>
          <w:bCs/>
          <w:b/>
        </w:rPr>
        <w:t xml:space="preserve">For Saint Petersburg City Fire Department</w:t>
      </w:r>
    </w:p>
    <w:p>
      <w:pPr>
        <w:pStyle w:val="BodyText"/>
      </w:pPr>
      <w:r>
        <w:t xml:space="preserve">Authorized Signatory &amp; Date</w:t>
      </w:r>
    </w:p>
    <w:p>
      <w:pPr>
        <w:pStyle w:val="BodyText"/>
      </w:pPr>
      <w:r>
        <w:t xml:space="preserve">Quotation Estimate No. QTE-SPB-2025-0417 | NordFire Industrial Supply Co. | This document is confidential and intended solely for the named recipient in Saint Petersburg, Russia.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Equipment - Saint Petersburg, Russia</dc:title>
  <dc:creator/>
  <dc:language>en</dc:language>
  <cp:keywords/>
  <dcterms:created xsi:type="dcterms:W3CDTF">2026-10-10T01:58:45Z</dcterms:created>
  <dcterms:modified xsi:type="dcterms:W3CDTF">2026-10-10T01:58:45Z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