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afeguard-fire-protection-co.-ltd."/>
    <w:p>
      <w:pPr>
        <w:pStyle w:val="Heading1"/>
      </w:pPr>
      <w:r>
        <w:t xml:space="preserve">SAFEGUARD FIRE PROTECTION CO., LTD.</w:t>
      </w:r>
    </w:p>
    <w:p>
      <w:pPr>
        <w:pStyle w:val="FirstParagraph"/>
      </w:pPr>
      <w:r>
        <w:t xml:space="preserve">128/45 Sukhumvit Road, Khlong Toei, Bangkok 10110, Thailand</w:t>
      </w:r>
    </w:p>
    <w:p>
      <w:pPr>
        <w:pStyle w:val="BodyText"/>
      </w:pPr>
      <w:r>
        <w:t xml:space="preserve">Tel: +66 (0) 2 255 8899 | Email: quotes@safeguardfire.co.th</w:t>
      </w:r>
    </w:p>
    <w:p>
      <w:pPr>
        <w:pStyle w:val="BodyText"/>
      </w:pPr>
      <w:r>
        <w:t xml:space="preserve">Tax ID: 0105558901234 | License No. TH-FP-2024-00347</w:t>
      </w:r>
    </w:p>
    <w:bookmarkEnd w:id="20"/>
    <w:p>
      <w:pPr>
        <w:pStyle w:val="BodyText"/>
      </w:pPr>
      <w:r>
        <w:t xml:space="preserve">Document Ref: QTE-2025-BKK-0472</w:t>
      </w:r>
    </w:p>
    <w:bookmarkStart w:id="21" w:name="quotation-estimate"/>
    <w:p>
      <w:pPr>
        <w:pStyle w:val="Heading2"/>
      </w:pPr>
      <w:r>
        <w:t xml:space="preserve">Quotation Estimate</w:t>
      </w:r>
    </w:p>
    <w:p>
      <w:pPr>
        <w:pStyle w:val="FirstParagraph"/>
      </w:pPr>
      <w:r>
        <w:t xml:space="preserve">Professional Firefighter Services &amp; Fire Safety Solutions — Thailand Bangkok</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QTE-2025-BKK-0472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Thai Baht (THB)</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Siam Tower Development Co., Ltd.</w:t>
      </w:r>
    </w:p>
    <w:p>
      <w:pPr>
        <w:pStyle w:val="BodyText"/>
      </w:pPr>
      <w:r>
        <w:rPr>
          <w:bCs/>
          <w:b/>
        </w:rPr>
        <w:t xml:space="preserve">Address:</w:t>
      </w:r>
      <w:r>
        <w:t xml:space="preserve"> </w:t>
      </w:r>
      <w:r>
        <w:t xml:space="preserve">999 Rama IX Road, Huai Khwang, Bangkok 10310</w:t>
      </w:r>
    </w:p>
    <w:p>
      <w:pPr>
        <w:pStyle w:val="BodyText"/>
      </w:pPr>
      <w:r>
        <w:rPr>
          <w:bCs/>
          <w:b/>
        </w:rPr>
        <w:t xml:space="preserve">Contact:</w:t>
      </w:r>
      <w:r>
        <w:t xml:space="preserve"> </w:t>
      </w:r>
      <w:r>
        <w:t xml:space="preserve">Mr. Anan Chaiyasit</w:t>
      </w:r>
    </w:p>
    <w:p>
      <w:pPr>
        <w:pStyle w:val="BodyText"/>
      </w:pPr>
      <w:r>
        <w:rPr>
          <w:bCs/>
          <w:b/>
        </w:rPr>
        <w:t xml:space="preserve">Email:</w:t>
      </w:r>
      <w:r>
        <w:t xml:space="preserve"> </w:t>
      </w:r>
      <w:r>
        <w:t xml:space="preserve">a.chaiyasit@siamtower.co.th</w:t>
      </w:r>
    </w:p>
    <w:bookmarkEnd w:id="23"/>
    <w:bookmarkStart w:id="24" w:name="X025c3625eed55496df431e2ae853e6afe3804ec"/>
    <w:p>
      <w:pPr>
        <w:pStyle w:val="Heading3"/>
      </w:pPr>
      <w:r>
        <w:t xml:space="preserve">1. Scope of Work — Firefighter Services in Thailand Bangkok</w:t>
      </w:r>
    </w:p>
    <w:p>
      <w:pPr>
        <w:pStyle w:val="FirstParagraph"/>
      </w:pPr>
      <w:r>
        <w:t xml:space="preserve">This</w:t>
      </w:r>
      <w:r>
        <w:t xml:space="preserve"> </w:t>
      </w:r>
      <w:r>
        <w:t xml:space="preserve">Quotation Estimate</w:t>
      </w:r>
      <w:r>
        <w:t xml:space="preserve"> </w:t>
      </w:r>
      <w:r>
        <w:t xml:space="preserve">is prepared by Safeguard Fire Protection Co., Ltd. to provide comprehensive</w:t>
      </w:r>
      <w:r>
        <w:t xml:space="preserve"> </w:t>
      </w:r>
      <w:r>
        <w:t xml:space="preserve">Firefighter</w:t>
      </w:r>
      <w:r>
        <w:t xml:space="preserve"> </w:t>
      </w:r>
      <w:r>
        <w:t xml:space="preserve">training, equipment supply, and ongoing fire safety services for the Siam Tower complex located in the heart of</w:t>
      </w:r>
      <w:r>
        <w:t xml:space="preserve"> </w:t>
      </w:r>
      <w:r>
        <w:t xml:space="preserve">Thailand Bangkok</w:t>
      </w:r>
      <w:r>
        <w:t xml:space="preserve">. The scope encompasses all fire prevention, detection, suppression, and emergency response requirements in compliance with the Thai Fire Prevention and Suppression Act B.E. 2521 (1978) and the Bangkok Metropolitan Administration (BMA) fire safety regulations.</w:t>
      </w:r>
    </w:p>
    <w:p>
      <w:pPr>
        <w:pStyle w:val="BodyText"/>
      </w:pPr>
      <w:r>
        <w:t xml:space="preserve">The</w:t>
      </w:r>
      <w:r>
        <w:t xml:space="preserve"> </w:t>
      </w:r>
      <w:r>
        <w:t xml:space="preserve">Firefighter</w:t>
      </w:r>
      <w:r>
        <w:t xml:space="preserve"> </w:t>
      </w:r>
      <w:r>
        <w:t xml:space="preserve">services outlined in this estimate include the deployment of certified professional</w:t>
      </w:r>
      <w:r>
        <w:t xml:space="preserve"> </w:t>
      </w:r>
      <w:r>
        <w:t xml:space="preserve">Firefighter</w:t>
      </w:r>
      <w:r>
        <w:t xml:space="preserve"> </w:t>
      </w:r>
      <w:r>
        <w:t xml:space="preserve">personnel, installation and maintenance of fire suppression systems, conduct of mandatory fire drills, and provision of all necessary personal protective equipment (PPE) for on-site</w:t>
      </w:r>
      <w:r>
        <w:t xml:space="preserve"> </w:t>
      </w:r>
      <w:r>
        <w:t xml:space="preserve">Firefighter</w:t>
      </w:r>
      <w:r>
        <w:t xml:space="preserve"> </w:t>
      </w:r>
      <w:r>
        <w:t xml:space="preserve">teams operating within the</w:t>
      </w:r>
      <w:r>
        <w:t xml:space="preserve"> </w:t>
      </w:r>
      <w:r>
        <w:t xml:space="preserve">Thailand Bangkok</w:t>
      </w:r>
      <w:r>
        <w:t xml:space="preserve"> </w:t>
      </w:r>
      <w:r>
        <w:t xml:space="preserve">metropolitan area.</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 (THB)</w:t>
            </w:r>
          </w:p>
        </w:tc>
        <w:tc>
          <w:tcPr/>
          <w:p>
            <w:pPr>
              <w:pStyle w:val="Compact"/>
              <w:jc w:val="left"/>
            </w:pPr>
            <w:r>
              <w:t xml:space="preserve">Amount (THB)</w:t>
            </w:r>
          </w:p>
        </w:tc>
        <w:tc>
          <w:tcPr/>
          <w:p>
            <w:pPr>
              <w:pStyle w:val="Compact"/>
              <w:jc w:val="left"/>
            </w:pPr>
            <w:r>
              <w:t xml:space="preserve">Duration / Notes</w:t>
            </w:r>
          </w:p>
        </w:tc>
      </w:tr>
      <w:tr>
        <w:tc>
          <w:tcPr/>
          <w:p>
            <w:pPr>
              <w:pStyle w:val="Compact"/>
              <w:jc w:val="left"/>
            </w:pPr>
            <w:r>
              <w:t xml:space="preserve">1</w:t>
            </w:r>
          </w:p>
        </w:tc>
        <w:tc>
          <w:tcPr/>
          <w:p>
            <w:pPr>
              <w:pStyle w:val="Compact"/>
              <w:jc w:val="left"/>
            </w:pPr>
            <w:r>
              <w:t xml:space="preserve">Professional Firefighter On-Site Guard Service (24/7 coverage, 4 shifts, 8 certified Firefighter personnel per shift)</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c>
          <w:tcPr/>
          <w:p>
            <w:pPr>
              <w:pStyle w:val="Compact"/>
              <w:jc w:val="left"/>
            </w:pPr>
            <w:r>
              <w:t xml:space="preserve">Monthly / Per person</w:t>
            </w:r>
          </w:p>
        </w:tc>
      </w:tr>
      <w:tr>
        <w:tc>
          <w:tcPr/>
          <w:p>
            <w:pPr>
              <w:pStyle w:val="Compact"/>
              <w:jc w:val="left"/>
            </w:pPr>
            <w:r>
              <w:t xml:space="preserve">2</w:t>
            </w:r>
          </w:p>
        </w:tc>
        <w:tc>
          <w:tcPr/>
          <w:p>
            <w:pPr>
              <w:pStyle w:val="Compact"/>
              <w:jc w:val="left"/>
            </w:pPr>
            <w:r>
              <w:t xml:space="preserve">Firefighter Training Program — Initial Certification (Thai Fire Department approved curriculum, 40-hour course)</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One-time / Per trainee</w:t>
            </w:r>
          </w:p>
        </w:tc>
      </w:tr>
      <w:tr>
        <w:tc>
          <w:tcPr/>
          <w:p>
            <w:pPr>
              <w:pStyle w:val="Compact"/>
              <w:jc w:val="left"/>
            </w:pPr>
            <w:r>
              <w:t xml:space="preserve">3</w:t>
            </w:r>
          </w:p>
        </w:tc>
        <w:tc>
          <w:tcPr/>
          <w:p>
            <w:pPr>
              <w:pStyle w:val="Compact"/>
              <w:jc w:val="left"/>
            </w:pPr>
            <w:r>
              <w:t xml:space="preserve">Quarterly Fire Drill &amp; Emergency Evacuation Exercise (coordinated with Bangkok Fire Department)</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Per quarter / Annual</w:t>
            </w:r>
          </w:p>
        </w:tc>
      </w:tr>
      <w:tr>
        <w:tc>
          <w:tcPr/>
          <w:p>
            <w:pPr>
              <w:pStyle w:val="Compact"/>
              <w:jc w:val="left"/>
            </w:pPr>
            <w:r>
              <w:t xml:space="preserve">4</w:t>
            </w:r>
          </w:p>
        </w:tc>
        <w:tc>
          <w:tcPr/>
          <w:p>
            <w:pPr>
              <w:pStyle w:val="Compact"/>
              <w:jc w:val="left"/>
            </w:pPr>
            <w:r>
              <w:t xml:space="preserve">Fire Suppression System Installation (Sprinkler, Hydrant, and Gas-based systems for 28 floors)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One-time project</w:t>
            </w:r>
          </w:p>
        </w:tc>
      </w:tr>
      <w:tr>
        <w:tc>
          <w:tcPr/>
          <w:p>
            <w:pPr>
              <w:pStyle w:val="Compact"/>
              <w:jc w:val="left"/>
            </w:pPr>
            <w:r>
              <w:t xml:space="preserve">5</w:t>
            </w:r>
          </w:p>
        </w:tc>
        <w:tc>
          <w:tcPr/>
          <w:p>
            <w:pPr>
              <w:pStyle w:val="Compact"/>
              <w:jc w:val="left"/>
            </w:pPr>
            <w:r>
              <w:t xml:space="preserve">Annual Maintenance &amp; Inspection of All Firefighter Equipment and Systems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Annual contract</w:t>
            </w:r>
          </w:p>
        </w:tc>
      </w:tr>
      <w:tr>
        <w:tc>
          <w:tcPr/>
          <w:p>
            <w:pPr>
              <w:pStyle w:val="Compact"/>
              <w:jc w:val="left"/>
            </w:pPr>
            <w:r>
              <w:t xml:space="preserve">6</w:t>
            </w:r>
          </w:p>
        </w:tc>
        <w:tc>
          <w:tcPr/>
          <w:p>
            <w:pPr>
              <w:pStyle w:val="Compact"/>
              <w:jc w:val="left"/>
            </w:pPr>
            <w:r>
              <w:t xml:space="preserve">Firefighter Personal Protective Equipment (PPE) — Full gear set (helmet, coat, trousers, boots, gloves, SCBA)</w:t>
            </w:r>
          </w:p>
        </w:tc>
        <w:tc>
          <w:tcPr/>
          <w:p>
            <w:pPr>
              <w:pStyle w:val="Compact"/>
              <w:jc w:val="left"/>
            </w:pPr>
            <w:r>
              <w:t xml:space="preserve">32</w:t>
            </w:r>
          </w:p>
        </w:tc>
        <w:tc>
          <w:tcPr/>
          <w:p>
            <w:pPr>
              <w:pStyle w:val="Compact"/>
              <w:jc w:val="left"/>
            </w:pPr>
            <w:r>
              <w:t xml:space="preserve">28,000</w:t>
            </w:r>
          </w:p>
        </w:tc>
        <w:tc>
          <w:tcPr/>
          <w:p>
            <w:pPr>
              <w:pStyle w:val="Compact"/>
              <w:jc w:val="left"/>
            </w:pPr>
            <w:r>
              <w:t xml:space="preserve">896,000</w:t>
            </w:r>
          </w:p>
        </w:tc>
        <w:tc>
          <w:tcPr/>
          <w:p>
            <w:pPr>
              <w:pStyle w:val="Compact"/>
              <w:jc w:val="left"/>
            </w:pPr>
            <w:r>
              <w:t xml:space="preserve">One-time / Per set</w:t>
            </w:r>
          </w:p>
        </w:tc>
      </w:tr>
      <w:tr>
        <w:tc>
          <w:tcPr/>
          <w:p>
            <w:pPr>
              <w:pStyle w:val="Compact"/>
              <w:jc w:val="left"/>
            </w:pPr>
            <w:r>
              <w:t xml:space="preserve">7</w:t>
            </w:r>
          </w:p>
        </w:tc>
        <w:tc>
          <w:tcPr/>
          <w:p>
            <w:pPr>
              <w:pStyle w:val="Compact"/>
              <w:jc w:val="left"/>
            </w:pPr>
            <w:r>
              <w:t xml:space="preserve">Fire Alarm &amp; Detection System (Addressable panel, 2,400 detectors, BMA-compliant)</w:t>
            </w:r>
          </w:p>
        </w:tc>
        <w:tc>
          <w:tcPr/>
          <w:p>
            <w:pPr>
              <w:pStyle w:val="Compact"/>
              <w:jc w:val="left"/>
            </w:pPr>
            <w:r>
              <w:t xml:space="preserve">1</w:t>
            </w:r>
          </w:p>
        </w:tc>
        <w:tc>
          <w:tcPr/>
          <w:p>
            <w:pPr>
              <w:pStyle w:val="Compact"/>
              <w:jc w:val="left"/>
            </w:pPr>
            <w:r>
              <w:t xml:space="preserve">2,150,000</w:t>
            </w:r>
          </w:p>
        </w:tc>
        <w:tc>
          <w:tcPr/>
          <w:p>
            <w:pPr>
              <w:pStyle w:val="Compact"/>
              <w:jc w:val="left"/>
            </w:pPr>
            <w:r>
              <w:t xml:space="preserve">2,150,000</w:t>
            </w:r>
          </w:p>
        </w:tc>
        <w:tc>
          <w:tcPr/>
          <w:p>
            <w:pPr>
              <w:pStyle w:val="Compact"/>
              <w:jc w:val="left"/>
            </w:pPr>
            <w:r>
              <w:t xml:space="preserve">One-time project</w:t>
            </w:r>
          </w:p>
        </w:tc>
      </w:tr>
      <w:tr>
        <w:tc>
          <w:tcPr/>
          <w:p>
            <w:pPr>
              <w:pStyle w:val="Compact"/>
              <w:jc w:val="left"/>
            </w:pPr>
            <w:r>
              <w:t xml:space="preserve">8</w:t>
            </w:r>
          </w:p>
        </w:tc>
        <w:tc>
          <w:tcPr/>
          <w:p>
            <w:pPr>
              <w:pStyle w:val="Compact"/>
              <w:jc w:val="left"/>
            </w:pPr>
            <w:r>
              <w:t xml:space="preserve">Firefighter Vehicle &amp; Equipment Standby (1 fire engine + 1 aerial ladder truck on standby at site)</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Monthly / Per vehicle</w:t>
            </w:r>
          </w:p>
        </w:tc>
      </w:tr>
      <w:tr>
        <w:tc>
          <w:tcPr/>
          <w:p>
            <w:pPr>
              <w:pStyle w:val="Compact"/>
              <w:jc w:val="left"/>
            </w:pPr>
            <w:r>
              <w:t xml:space="preserve">9</w:t>
            </w:r>
          </w:p>
        </w:tc>
        <w:tc>
          <w:tcPr/>
          <w:p>
            <w:pPr>
              <w:pStyle w:val="Compact"/>
              <w:jc w:val="left"/>
            </w:pPr>
            <w:r>
              <w:t xml:space="preserve">Fire Safety Signage &amp; Wayfinding (Thai and English, BMA standard, 28 floors + parking)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One-time project</w:t>
            </w:r>
          </w:p>
        </w:tc>
      </w:tr>
      <w:tr>
        <w:tc>
          <w:tcPr/>
          <w:p>
            <w:pPr>
              <w:pStyle w:val="Compact"/>
              <w:jc w:val="left"/>
            </w:pPr>
            <w:r>
              <w:t xml:space="preserve">10</w:t>
            </w:r>
          </w:p>
        </w:tc>
        <w:tc>
          <w:tcPr/>
          <w:p>
            <w:pPr>
              <w:pStyle w:val="Compact"/>
              <w:jc w:val="left"/>
            </w:pPr>
            <w:r>
              <w:t xml:space="preserve">Firefighter First-Aid &amp; CPR Certification (Red Cross Thailand approved, 16-hour course)</w:t>
            </w:r>
          </w:p>
        </w:tc>
        <w:tc>
          <w:tcPr/>
          <w:p>
            <w:pPr>
              <w:pStyle w:val="Compact"/>
              <w:jc w:val="left"/>
            </w:pPr>
            <w:r>
              <w:t xml:space="preserve">32</w:t>
            </w:r>
          </w:p>
        </w:tc>
        <w:tc>
          <w:tcPr/>
          <w:p>
            <w:pPr>
              <w:pStyle w:val="Compact"/>
              <w:jc w:val="left"/>
            </w:pPr>
            <w:r>
              <w:t xml:space="preserve">3,500</w:t>
            </w:r>
          </w:p>
        </w:tc>
        <w:tc>
          <w:tcPr/>
          <w:p>
            <w:pPr>
              <w:pStyle w:val="Compact"/>
              <w:jc w:val="left"/>
            </w:pPr>
            <w:r>
              <w:t xml:space="preserve">112,000</w:t>
            </w:r>
          </w:p>
        </w:tc>
        <w:tc>
          <w:tcPr/>
          <w:p>
            <w:pPr>
              <w:pStyle w:val="Compact"/>
              <w:jc w:val="left"/>
            </w:pPr>
            <w:r>
              <w:t xml:space="preserve">One-time / Per person</w:t>
            </w:r>
          </w:p>
        </w:tc>
      </w:tr>
      <w:tr>
        <w:tc>
          <w:tcPr>
            <w:gridSpan w:val="4"/>
          </w:tcPr>
          <w:p>
            <w:pPr>
              <w:pStyle w:val="Compact"/>
              <w:jc w:val="right"/>
            </w:pPr>
            <w:r>
              <w:t xml:space="preserve">Subtotal</w:t>
            </w:r>
          </w:p>
        </w:tc>
        <w:tc>
          <w:tcPr/>
          <w:p>
            <w:pPr>
              <w:pStyle w:val="Compact"/>
              <w:jc w:val="left"/>
            </w:pPr>
            <w:r>
              <w:t xml:space="preserve">9,855,000</w:t>
            </w:r>
          </w:p>
        </w:tc>
        <w:tc>
          <w:tcPr/>
          <w:p>
            <w:pPr>
              <w:pStyle w:val="Compact"/>
            </w:pPr>
          </w:p>
        </w:tc>
      </w:tr>
      <w:tr>
        <w:tc>
          <w:tcPr>
            <w:gridSpan w:val="4"/>
          </w:tcPr>
          <w:p>
            <w:pPr>
              <w:pStyle w:val="Compact"/>
              <w:jc w:val="right"/>
            </w:pPr>
            <w:r>
              <w:t xml:space="preserve">VAT (7%)</w:t>
            </w:r>
          </w:p>
        </w:tc>
        <w:tc>
          <w:tcPr/>
          <w:p>
            <w:pPr>
              <w:pStyle w:val="Compact"/>
              <w:jc w:val="left"/>
            </w:pPr>
            <w:r>
              <w:t xml:space="preserve">689,850</w:t>
            </w:r>
          </w:p>
        </w:tc>
        <w:tc>
          <w:tcPr/>
          <w:p>
            <w:pPr>
              <w:pStyle w:val="Compact"/>
            </w:pPr>
          </w:p>
        </w:tc>
      </w:tr>
      <w:tr>
        <w:tc>
          <w:tcPr>
            <w:gridSpan w:val="4"/>
          </w:tcPr>
          <w:p>
            <w:pPr>
              <w:pStyle w:val="Compact"/>
              <w:jc w:val="right"/>
            </w:pPr>
            <w:r>
              <w:t xml:space="preserve">TOTAL QUOTATION ESTIMATE</w:t>
            </w:r>
          </w:p>
        </w:tc>
        <w:tc>
          <w:tcPr/>
          <w:p>
            <w:pPr>
              <w:pStyle w:val="Compact"/>
              <w:jc w:val="left"/>
            </w:pPr>
            <w:r>
              <w:t xml:space="preserve">10,544,850</w:t>
            </w:r>
          </w:p>
        </w:tc>
        <w:tc>
          <w:tcPr/>
          <w:p>
            <w:pPr>
              <w:pStyle w:val="Compact"/>
              <w:jc w:val="left"/>
            </w:pPr>
            <w:r>
              <w:t xml:space="preserve">THB</w:t>
            </w:r>
          </w:p>
        </w:tc>
      </w:tr>
    </w:tbl>
    <w:bookmarkEnd w:id="25"/>
    <w:bookmarkStart w:id="26" w:name="terms-and-conditions"/>
    <w:p>
      <w:pPr>
        <w:pStyle w:val="Heading3"/>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After the expiry date, all prices and availability of Firefighter personnel and equipment are subject to revision.</w:t>
      </w:r>
    </w:p>
    <w:p>
      <w:pPr>
        <w:pStyle w:val="BodyText"/>
      </w:pPr>
      <w:r>
        <w:rPr>
          <w:bCs/>
          <w:b/>
        </w:rPr>
        <w:t xml:space="preserve">3.2</w:t>
      </w:r>
      <w:r>
        <w:t xml:space="preserve"> </w:t>
      </w:r>
      <w:r>
        <w:t xml:space="preserve">All Firefighter personnel deployed under this Quotation Estimate shall hold valid certification from the Thai Fire Department and the Bangkok Metropolitan Administration. Certificates will be provided for verification prior to commencement of services.</w:t>
      </w:r>
    </w:p>
    <w:p>
      <w:pPr>
        <w:pStyle w:val="BodyText"/>
      </w:pPr>
      <w:r>
        <w:rPr>
          <w:bCs/>
          <w:b/>
        </w:rPr>
        <w:t xml:space="preserve">3.3</w:t>
      </w:r>
      <w:r>
        <w:t xml:space="preserve"> </w:t>
      </w:r>
      <w:r>
        <w:t xml:space="preserve">Payment terms: 30% advance payment upon acceptance of this Quotation Estimate; 40% upon completion of installation works; 30% upon final handover and commissioning. Monthly Firefighter guard service fees are payable within 15 days of each monthly invoice.</w:t>
      </w:r>
    </w:p>
    <w:p>
      <w:pPr>
        <w:pStyle w:val="BodyText"/>
      </w:pPr>
      <w:r>
        <w:rPr>
          <w:bCs/>
          <w:b/>
        </w:rPr>
        <w:t xml:space="preserve">3.4</w:t>
      </w:r>
      <w:r>
        <w:t xml:space="preserve"> </w:t>
      </w:r>
      <w:r>
        <w:t xml:space="preserve">All work shall be performed in strict compliance with the Thai Fire Prevention and Suppression Act, BMA building codes, and the National Fire Safety Standards of Thailand Bangkok.</w:t>
      </w:r>
    </w:p>
    <w:p>
      <w:pPr>
        <w:pStyle w:val="BodyText"/>
      </w:pPr>
      <w:r>
        <w:rPr>
          <w:bCs/>
          <w:b/>
        </w:rPr>
        <w:t xml:space="preserve">3.5</w:t>
      </w:r>
      <w:r>
        <w:t xml:space="preserve"> </w:t>
      </w:r>
      <w:r>
        <w:t xml:space="preserve">Safeguard Fire Protection Co., Ltd. shall maintain full public liability insurance (minimum 50,000,000 THB) and workers' compensation coverage for all Firefighter personnel operating on the client's premises in Thailand Bangkok.</w:t>
      </w:r>
    </w:p>
    <w:p>
      <w:pPr>
        <w:pStyle w:val="BodyText"/>
      </w:pPr>
      <w:r>
        <w:rPr>
          <w:bCs/>
          <w:b/>
        </w:rPr>
        <w:t xml:space="preserve">3.6</w:t>
      </w:r>
      <w:r>
        <w:t xml:space="preserve"> </w:t>
      </w:r>
      <w:r>
        <w:t xml:space="preserve">The client agrees to provide safe access to all areas of the Siam Tower complex for Firefighter personnel, equipment installation, and emergency response operations.</w:t>
      </w:r>
    </w:p>
    <w:p>
      <w:pPr>
        <w:pStyle w:val="BodyText"/>
      </w:pPr>
      <w:r>
        <w:rPr>
          <w:bCs/>
          <w:b/>
        </w:rPr>
        <w:t xml:space="preserve">3.7</w:t>
      </w:r>
      <w:r>
        <w:t xml:space="preserve"> </w:t>
      </w:r>
      <w:r>
        <w:t xml:space="preserve">Any changes to the scope of work beyond 10% of the original Quotation Estimate value shall require a written amendment signed by both parties.</w:t>
      </w:r>
    </w:p>
    <w:p>
      <w:pPr>
        <w:pStyle w:val="BodyText"/>
      </w:pPr>
      <w:r>
        <w:rPr>
          <w:bCs/>
          <w:b/>
        </w:rPr>
        <w:t xml:space="preserve">3.8</w:t>
      </w:r>
      <w:r>
        <w:t xml:space="preserve"> </w:t>
      </w:r>
      <w:r>
        <w:t xml:space="preserve">This Quotation Estimate does not constitute a binding contract until formally accepted in writing by the client and countersigned by Safeguard Fire Protection Co., Ltd.</w:t>
      </w:r>
    </w:p>
    <w:bookmarkEnd w:id="26"/>
    <w:bookmarkStart w:id="27" w:name="project-timeline"/>
    <w:p>
      <w:pPr>
        <w:pStyle w:val="Heading3"/>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Site survey, design approval, and BMA permit acquisition in Thailand Bangkok</w:t>
            </w:r>
          </w:p>
        </w:tc>
        <w:tc>
          <w:tcPr/>
          <w:p>
            <w:pPr>
              <w:pStyle w:val="Compact"/>
              <w:jc w:val="left"/>
            </w:pPr>
            <w:r>
              <w:t xml:space="preserve">Weeks 1–3</w:t>
            </w:r>
          </w:p>
        </w:tc>
      </w:tr>
      <w:tr>
        <w:tc>
          <w:tcPr/>
          <w:p>
            <w:pPr>
              <w:pStyle w:val="Compact"/>
              <w:jc w:val="left"/>
            </w:pPr>
            <w:r>
              <w:t xml:space="preserve">Phase 2</w:t>
            </w:r>
          </w:p>
        </w:tc>
        <w:tc>
          <w:tcPr/>
          <w:p>
            <w:pPr>
              <w:pStyle w:val="Compact"/>
              <w:jc w:val="left"/>
            </w:pPr>
            <w:r>
              <w:t xml:space="preserve">Firefighter personnel recruitment, training, and PPE procurement</w:t>
            </w:r>
          </w:p>
        </w:tc>
        <w:tc>
          <w:tcPr/>
          <w:p>
            <w:pPr>
              <w:pStyle w:val="Compact"/>
              <w:jc w:val="left"/>
            </w:pPr>
            <w:r>
              <w:t xml:space="preserve">Weeks 3–6</w:t>
            </w:r>
          </w:p>
        </w:tc>
      </w:tr>
      <w:tr>
        <w:tc>
          <w:tcPr/>
          <w:p>
            <w:pPr>
              <w:pStyle w:val="Compact"/>
              <w:jc w:val="left"/>
            </w:pPr>
            <w:r>
              <w:t xml:space="preserve">Phase 3</w:t>
            </w:r>
          </w:p>
        </w:tc>
        <w:tc>
          <w:tcPr/>
          <w:p>
            <w:pPr>
              <w:pStyle w:val="Compact"/>
              <w:jc w:val="left"/>
            </w:pPr>
            <w:r>
              <w:t xml:space="preserve">Installation of fire suppression, alarm, and detection systems</w:t>
            </w:r>
          </w:p>
        </w:tc>
        <w:tc>
          <w:tcPr/>
          <w:p>
            <w:pPr>
              <w:pStyle w:val="Compact"/>
              <w:jc w:val="left"/>
            </w:pPr>
            <w:r>
              <w:t xml:space="preserve">Weeks 6–14</w:t>
            </w:r>
          </w:p>
        </w:tc>
      </w:tr>
      <w:tr>
        <w:tc>
          <w:tcPr/>
          <w:p>
            <w:pPr>
              <w:pStyle w:val="Compact"/>
              <w:jc w:val="left"/>
            </w:pPr>
            <w:r>
              <w:t xml:space="preserve">Phase 4</w:t>
            </w:r>
          </w:p>
        </w:tc>
        <w:tc>
          <w:tcPr/>
          <w:p>
            <w:pPr>
              <w:pStyle w:val="Compact"/>
              <w:jc w:val="left"/>
            </w:pPr>
            <w:r>
              <w:t xml:space="preserve">Commissioning, testing, and BMA inspection</w:t>
            </w:r>
          </w:p>
        </w:tc>
        <w:tc>
          <w:tcPr/>
          <w:p>
            <w:pPr>
              <w:pStyle w:val="Compact"/>
              <w:jc w:val="left"/>
            </w:pPr>
            <w:r>
              <w:t xml:space="preserve">Weeks 14–16</w:t>
            </w:r>
          </w:p>
        </w:tc>
      </w:tr>
      <w:tr>
        <w:tc>
          <w:tcPr/>
          <w:p>
            <w:pPr>
              <w:pStyle w:val="Compact"/>
              <w:jc w:val="left"/>
            </w:pPr>
            <w:r>
              <w:t xml:space="preserve">Phase 5</w:t>
            </w:r>
          </w:p>
        </w:tc>
        <w:tc>
          <w:tcPr/>
          <w:p>
            <w:pPr>
              <w:pStyle w:val="Compact"/>
              <w:jc w:val="left"/>
            </w:pPr>
            <w:r>
              <w:t xml:space="preserve">Handover, documentation, and commencement of 24/7 Firefighter guard service</w:t>
            </w:r>
          </w:p>
        </w:tc>
        <w:tc>
          <w:tcPr/>
          <w:p>
            <w:pPr>
              <w:pStyle w:val="Compact"/>
              <w:jc w:val="left"/>
            </w:pPr>
            <w:r>
              <w:t xml:space="preserve">Week 16</w:t>
            </w:r>
          </w:p>
        </w:tc>
      </w:tr>
    </w:tbl>
    <w:bookmarkEnd w:id="27"/>
    <w:p>
      <w:pPr>
        <w:pStyle w:val="BodyText"/>
      </w:pPr>
      <w:r>
        <w:rPr>
          <w:bCs/>
          <w:b/>
        </w:rPr>
        <w:t xml:space="preserve">For Safeguard Fire Protection Co., Ltd.</w:t>
      </w:r>
    </w:p>
    <w:p>
      <w:pPr>
        <w:pStyle w:val="BodyText"/>
      </w:pPr>
      <w:r>
        <w:t xml:space="preserve">Name: Khun Somchai Prasert</w:t>
      </w:r>
    </w:p>
    <w:p>
      <w:pPr>
        <w:pStyle w:val="BodyText"/>
      </w:pPr>
      <w:r>
        <w:t xml:space="preserve">Title: General Manager</w:t>
      </w:r>
    </w:p>
    <w:p>
      <w:pPr>
        <w:pStyle w:val="BodyText"/>
      </w:pPr>
      <w:r>
        <w:t xml:space="preserve">Date: _______________</w:t>
      </w:r>
    </w:p>
    <w:p>
      <w:pPr>
        <w:pStyle w:val="BodyText"/>
      </w:pPr>
      <w:r>
        <w:rPr>
          <w:bCs/>
          <w:b/>
        </w:rPr>
        <w:t xml:space="preserve">Accepted by Client (Siam Tower Development Co., Ltd.)</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t xml:space="preserve">This Quotation Estimate for Firefighter services in Thailand Bangkok is issued by Safeguard Fire Protection Co., Ltd. and is the property of the issuing company. Unauthorized reproduction is prohibited.</w:t>
      </w:r>
    </w:p>
    <w:p>
      <w:pPr>
        <w:pStyle w:val="BodyText"/>
      </w:pPr>
      <w:r>
        <w:t xml:space="preserve">Document generated on 15 June 2025 | Page 1 of 1 | Ref: QTE-2025-BKK-0472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Thailand Bangkok</dc:title>
  <dc:creator/>
  <dc:language>en</dc:language>
  <cp:keywords/>
  <dcterms:created xsi:type="dcterms:W3CDTF">2026-10-10T05:48:04Z</dcterms:created>
  <dcterms:modified xsi:type="dcterms:W3CDTF">2026-10-10T05:48:04Z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