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Firefighter</w:t>
      </w:r>
      <w:r>
        <w:t xml:space="preserve"> </w:t>
      </w:r>
      <w:r>
        <w:t xml:space="preserve">Services</w:t>
      </w:r>
      <w:r>
        <w:t xml:space="preserve"> </w:t>
      </w:r>
      <w:r>
        <w:t xml:space="preserve">-</w:t>
      </w:r>
      <w:r>
        <w:t xml:space="preserve"> </w:t>
      </w:r>
      <w:r>
        <w:t xml:space="preserve">Turkey</w:t>
      </w:r>
      <w:r>
        <w:t xml:space="preserve"> </w:t>
      </w:r>
      <w:r>
        <w:t xml:space="preserve">Istanbul</w:t>
      </w:r>
    </w:p>
    <w:bookmarkStart w:id="20" w:name="quotation-estimate"/>
    <w:p>
      <w:pPr>
        <w:pStyle w:val="Heading1"/>
      </w:pPr>
      <w:r>
        <w:t xml:space="preserve">Quotation Estimate</w:t>
      </w:r>
    </w:p>
    <w:p>
      <w:pPr>
        <w:pStyle w:val="FirstParagraph"/>
      </w:pPr>
      <w:r>
        <w:t xml:space="preserve">Professional Firefighter Services &amp; Safety Solutions</w:t>
      </w:r>
    </w:p>
    <w:p>
      <w:pPr>
        <w:pStyle w:val="BodyText"/>
      </w:pPr>
      <w:r>
        <w:t xml:space="preserve">Address: Büyükdere Caddesi No: 142, 34450 Esenyurt, Istanbul, Turkey</w:t>
      </w:r>
    </w:p>
    <w:p>
      <w:pPr>
        <w:pStyle w:val="BodyText"/>
      </w:pPr>
      <w:r>
        <w:t xml:space="preserve">Tel: +90 212 555 0142 | Email: quotations@firefighter-istanbul.com.tr</w:t>
      </w:r>
    </w:p>
    <w:p>
      <w:pPr>
        <w:pStyle w:val="BodyText"/>
      </w:pPr>
      <w:r>
        <w:t xml:space="preserve">Tax ID (VKN): 1234567890 | Trade Registry: Istanbul Ticaret Sicili No: 45678</w:t>
      </w:r>
    </w:p>
    <w:bookmarkEnd w:id="20"/>
    <w:p>
      <w:pPr>
        <w:pStyle w:val="BodyText"/>
      </w:pPr>
      <w:r>
        <w:rPr>
          <w:bCs/>
          <w:b/>
        </w:rPr>
        <w:t xml:space="preserve">Quotation Estimate No:</w:t>
      </w:r>
      <w:r>
        <w:t xml:space="preserve"> </w:t>
      </w:r>
      <w:r>
        <w:t xml:space="preserve">QTE-IST-2025-00847</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Prepared For:</w:t>
      </w:r>
      <w:r>
        <w:t xml:space="preserve"> </w:t>
      </w:r>
      <w:r>
        <w:t xml:space="preserve">Istanbul Metropolitan Municipality</w:t>
      </w:r>
      <w:r>
        <w:br/>
      </w:r>
      <w:r>
        <w:rPr>
          <w:bCs/>
          <w:b/>
        </w:rPr>
        <w:t xml:space="preserve">Department:</w:t>
      </w:r>
      <w:r>
        <w:t xml:space="preserve"> </w:t>
      </w:r>
      <w:r>
        <w:t xml:space="preserve">Fire &amp; Rescue Services Directorate</w:t>
      </w:r>
      <w:r>
        <w:br/>
      </w:r>
      <w:r>
        <w:rPr>
          <w:bCs/>
          <w:b/>
        </w:rPr>
        <w:t xml:space="preserve">Reference:</w:t>
      </w:r>
      <w:r>
        <w:t xml:space="preserve"> </w:t>
      </w:r>
      <w:r>
        <w:t xml:space="preserve">IFK-2025/3321</w:t>
      </w:r>
    </w:p>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formally issued to provide a comprehensive cost breakdown for the recruitment, deployment, and ongoing operational support of a certified</w:t>
      </w:r>
      <w:r>
        <w:t xml:space="preserve"> </w:t>
      </w:r>
      <w:r>
        <w:t xml:space="preserve">Firefighter</w:t>
      </w:r>
      <w:r>
        <w:t xml:space="preserve"> </w:t>
      </w:r>
      <w:r>
        <w:t xml:space="preserve">unit within the metropolitan area of</w:t>
      </w:r>
      <w:r>
        <w:t xml:space="preserve"> </w:t>
      </w:r>
      <w:r>
        <w:t xml:space="preserve">Turkey Istanbul</w:t>
      </w:r>
      <w:r>
        <w:t xml:space="preserve">. The scope encompasses all personnel costs, specialized equipment, training modules, and compliance requirements mandated by the Republic of Turkey's Ministry of Interior and the Istanbul Provincial Directorate of Disaster and Emergency Management (AFAD). This document serves as the official financial proposal for the procurement of professional</w:t>
      </w:r>
      <w:r>
        <w:t xml:space="preserve"> </w:t>
      </w:r>
      <w:r>
        <w:t xml:space="preserve">Firefighter</w:t>
      </w:r>
      <w:r>
        <w:t xml:space="preserve"> </w:t>
      </w:r>
      <w:r>
        <w:t xml:space="preserve">services tailored to the unique urban, industrial, and coastal risk profile of</w:t>
      </w:r>
      <w:r>
        <w:t xml:space="preserve"> </w:t>
      </w:r>
      <w:r>
        <w:t xml:space="preserve">Turkey Istanbul</w:t>
      </w:r>
      <w:r>
        <w:t xml:space="preserve">.</w:t>
      </w:r>
    </w:p>
    <w:bookmarkEnd w:id="21"/>
    <w:bookmarkStart w:id="22" w:name="X071231943191905531b89374580ad0a9e02c781"/>
    <w:p>
      <w:pPr>
        <w:pStyle w:val="Heading2"/>
      </w:pPr>
      <w:r>
        <w:t xml:space="preserve">2. Detailed Description of Firefighter Services</w:t>
      </w:r>
    </w:p>
    <w:p>
      <w:pPr>
        <w:pStyle w:val="FirstParagraph"/>
      </w:pPr>
      <w:r>
        <w:t xml:space="preserve">The proposed</w:t>
      </w:r>
      <w:r>
        <w:t xml:space="preserve"> </w:t>
      </w:r>
      <w:r>
        <w:t xml:space="preserve">Firefighter</w:t>
      </w:r>
      <w:r>
        <w:t xml:space="preserve"> </w:t>
      </w:r>
      <w:r>
        <w:t xml:space="preserve">engagement includes the following operational components, all designed to meet or exceed the standards set by the Istanbul Fire Department (İtfaiye Daire Başkanlığı) and the European Union Fire Safety Directives applicable to</w:t>
      </w:r>
      <w:r>
        <w:t xml:space="preserve"> </w:t>
      </w:r>
      <w:r>
        <w:t xml:space="preserve">Turkey Istanbul</w:t>
      </w:r>
      <w:r>
        <w:t xml:space="preserve">:</w:t>
      </w:r>
    </w:p>
    <w:p>
      <w:pPr>
        <w:numPr>
          <w:ilvl w:val="0"/>
          <w:numId w:val="1001"/>
        </w:numPr>
        <w:pStyle w:val="Compact"/>
      </w:pPr>
      <w:r>
        <w:rPr>
          <w:bCs/>
          <w:b/>
        </w:rPr>
        <w:t xml:space="preserve">Primary Firefighter Deployment:</w:t>
      </w:r>
      <w:r>
        <w:t xml:space="preserve"> </w:t>
      </w:r>
      <w:r>
        <w:t xml:space="preserve">One (1) fully certified Firefighter with a minimum of five (5) years of active service experience, holding a valid Turkish Firefighter License (İtfaiyeci Belgesi) issued by the Ministry of Interior, stationed at the designated Istanbul fire station.</w:t>
      </w:r>
    </w:p>
    <w:p>
      <w:pPr>
        <w:numPr>
          <w:ilvl w:val="0"/>
          <w:numId w:val="1001"/>
        </w:numPr>
        <w:pStyle w:val="Compact"/>
      </w:pPr>
      <w:r>
        <w:rPr>
          <w:bCs/>
          <w:b/>
        </w:rPr>
        <w:t xml:space="preserve">Emergency Response Coverage:</w:t>
      </w:r>
      <w:r>
        <w:t xml:space="preserve"> </w:t>
      </w:r>
      <w:r>
        <w:t xml:space="preserve">24/7 on-call availability for structural fires, industrial incidents, chemical spills, and rescue operations across the European and Asian sides of Turkey Istanbul.</w:t>
      </w:r>
    </w:p>
    <w:p>
      <w:pPr>
        <w:numPr>
          <w:ilvl w:val="0"/>
          <w:numId w:val="1001"/>
        </w:numPr>
        <w:pStyle w:val="Compact"/>
      </w:pPr>
      <w:r>
        <w:rPr>
          <w:bCs/>
          <w:b/>
        </w:rPr>
        <w:t xml:space="preserve">Preventive Inspections:</w:t>
      </w:r>
      <w:r>
        <w:t xml:space="preserve"> </w:t>
      </w:r>
      <w:r>
        <w:t xml:space="preserve">Monthly fire safety audits of commercial buildings, residential complexes, and industrial facilities within the assigned Istanbul district, in compliance with the Turkish Building Law (No. 3083) and Fire Protection Regulations.</w:t>
      </w:r>
    </w:p>
    <w:p>
      <w:pPr>
        <w:numPr>
          <w:ilvl w:val="0"/>
          <w:numId w:val="1001"/>
        </w:numPr>
        <w:pStyle w:val="Compact"/>
      </w:pPr>
      <w:r>
        <w:rPr>
          <w:bCs/>
          <w:b/>
        </w:rPr>
        <w:t xml:space="preserve">Training and Drills:</w:t>
      </w:r>
      <w:r>
        <w:t xml:space="preserve"> </w:t>
      </w:r>
      <w:r>
        <w:t xml:space="preserve">Quarterly on-site fire evacuation drills and annual advanced firefighting certification refreshers for the assigned Firefighter, conducted in coordination with the Istanbul AFAD center.</w:t>
      </w:r>
    </w:p>
    <w:p>
      <w:pPr>
        <w:numPr>
          <w:ilvl w:val="0"/>
          <w:numId w:val="1001"/>
        </w:numPr>
        <w:pStyle w:val="Compact"/>
      </w:pPr>
      <w:r>
        <w:rPr>
          <w:bCs/>
          <w:b/>
        </w:rPr>
        <w:t xml:space="preserve">Equipment Maintenance:</w:t>
      </w:r>
      <w:r>
        <w:t xml:space="preserve"> </w:t>
      </w:r>
      <w:r>
        <w:t xml:space="preserve">Full maintenance and calibration of all personal protective equipment (PPE), breathing apparatus (SCBA), and specialized firefighting tools assigned to the Firefighter unit.</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(TRY)</w:t>
            </w:r>
          </w:p>
        </w:tc>
        <w:tc>
          <w:tcPr/>
          <w:p>
            <w:pPr>
              <w:pStyle w:val="Compact"/>
              <w:jc w:val="left"/>
            </w:pPr>
            <w:r>
              <w:t xml:space="preserve">Total (TRY)</w:t>
            </w:r>
          </w:p>
        </w:tc>
      </w:tr>
      <w:tr>
        <w:tc>
          <w:tcPr/>
          <w:p>
            <w:pPr>
              <w:pStyle w:val="Compact"/>
              <w:jc w:val="left"/>
            </w:pPr>
            <w:r>
              <w:t xml:space="preserve">01</w:t>
            </w:r>
          </w:p>
        </w:tc>
        <w:tc>
          <w:tcPr/>
          <w:p>
            <w:pPr>
              <w:pStyle w:val="Compact"/>
              <w:jc w:val="left"/>
            </w:pPr>
            <w:r>
              <w:t xml:space="preserve">Certified Firefighter – Monthly Salary &amp; Social Security (SGK) Contributions</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48,500.00</w:t>
            </w:r>
          </w:p>
        </w:tc>
        <w:tc>
          <w:tcPr/>
          <w:p>
            <w:pPr>
              <w:pStyle w:val="Compact"/>
              <w:jc w:val="left"/>
            </w:pPr>
            <w:r>
              <w:t xml:space="preserve">582,000.00</w:t>
            </w:r>
          </w:p>
        </w:tc>
      </w:tr>
      <w:tr>
        <w:tc>
          <w:tcPr/>
          <w:p>
            <w:pPr>
              <w:pStyle w:val="Compact"/>
              <w:jc w:val="left"/>
            </w:pPr>
            <w:r>
              <w:t xml:space="preserve">02</w:t>
            </w:r>
          </w:p>
        </w:tc>
        <w:tc>
          <w:tcPr/>
          <w:p>
            <w:pPr>
              <w:pStyle w:val="Compact"/>
              <w:jc w:val="left"/>
            </w:pPr>
            <w:r>
              <w:t xml:space="preserve">Personal Protective Equipment (PPE) – Full Firefighter Gear Set (Istanbul Climate-Adapted)</w:t>
            </w:r>
          </w:p>
        </w:tc>
        <w:tc>
          <w:tcPr/>
          <w:p>
            <w:pPr>
              <w:pStyle w:val="Compact"/>
              <w:jc w:val="left"/>
            </w:pPr>
            <w:r>
              <w:t xml:space="preserve">Set</w:t>
            </w:r>
          </w:p>
        </w:tc>
        <w:tc>
          <w:tcPr/>
          <w:p>
            <w:pPr>
              <w:pStyle w:val="Compact"/>
              <w:jc w:val="left"/>
            </w:pPr>
            <w:r>
              <w:t xml:space="preserve">1</w:t>
            </w:r>
          </w:p>
        </w:tc>
        <w:tc>
          <w:tcPr/>
          <w:p>
            <w:pPr>
              <w:pStyle w:val="Compact"/>
              <w:jc w:val="left"/>
            </w:pPr>
            <w:r>
              <w:t xml:space="preserve">87,200.00</w:t>
            </w:r>
          </w:p>
        </w:tc>
        <w:tc>
          <w:tcPr/>
          <w:p>
            <w:pPr>
              <w:pStyle w:val="Compact"/>
              <w:jc w:val="left"/>
            </w:pPr>
            <w:r>
              <w:t xml:space="preserve">87,200.00</w:t>
            </w:r>
          </w:p>
        </w:tc>
      </w:tr>
      <w:tr>
        <w:tc>
          <w:tcPr/>
          <w:p>
            <w:pPr>
              <w:pStyle w:val="Compact"/>
              <w:jc w:val="left"/>
            </w:pPr>
            <w:r>
              <w:t xml:space="preserve">03</w:t>
            </w:r>
          </w:p>
        </w:tc>
        <w:tc>
          <w:tcPr/>
          <w:p>
            <w:pPr>
              <w:pStyle w:val="Compact"/>
              <w:jc w:val="left"/>
            </w:pPr>
            <w:r>
              <w:t xml:space="preserve">Self-Contained Breathing Apparatus (SCBA) – Annual Service &amp; Replacement</w:t>
            </w:r>
          </w:p>
        </w:tc>
        <w:tc>
          <w:tcPr/>
          <w:p>
            <w:pPr>
              <w:pStyle w:val="Compact"/>
              <w:jc w:val="left"/>
            </w:pPr>
            <w:r>
              <w:t xml:space="preserve">Year</w:t>
            </w:r>
          </w:p>
        </w:tc>
        <w:tc>
          <w:tcPr/>
          <w:p>
            <w:pPr>
              <w:pStyle w:val="Compact"/>
              <w:jc w:val="left"/>
            </w:pPr>
            <w:r>
              <w:t xml:space="preserve">1</w:t>
            </w:r>
          </w:p>
        </w:tc>
        <w:tc>
          <w:tcPr/>
          <w:p>
            <w:pPr>
              <w:pStyle w:val="Compact"/>
              <w:jc w:val="left"/>
            </w:pPr>
            <w:r>
              <w:t xml:space="preserve">34,600.00</w:t>
            </w:r>
          </w:p>
        </w:tc>
        <w:tc>
          <w:tcPr/>
          <w:p>
            <w:pPr>
              <w:pStyle w:val="Compact"/>
              <w:jc w:val="left"/>
            </w:pPr>
            <w:r>
              <w:t xml:space="preserve">34,600.00</w:t>
            </w:r>
          </w:p>
        </w:tc>
      </w:tr>
      <w:tr>
        <w:tc>
          <w:tcPr/>
          <w:p>
            <w:pPr>
              <w:pStyle w:val="Compact"/>
              <w:jc w:val="left"/>
            </w:pPr>
            <w:r>
              <w:t xml:space="preserve">04</w:t>
            </w:r>
          </w:p>
        </w:tc>
        <w:tc>
          <w:tcPr/>
          <w:p>
            <w:pPr>
              <w:pStyle w:val="Compact"/>
              <w:jc w:val="left"/>
            </w:pPr>
            <w:r>
              <w:t xml:space="preserve">Advanced Firefighter Training Program – Istanbul AFAD Certification</w:t>
            </w:r>
          </w:p>
        </w:tc>
        <w:tc>
          <w:tcPr/>
          <w:p>
            <w:pPr>
              <w:pStyle w:val="Compact"/>
              <w:jc w:val="left"/>
            </w:pPr>
            <w:r>
              <w:t xml:space="preserve">Course</w:t>
            </w:r>
          </w:p>
        </w:tc>
        <w:tc>
          <w:tcPr/>
          <w:p>
            <w:pPr>
              <w:pStyle w:val="Compact"/>
              <w:jc w:val="left"/>
            </w:pPr>
            <w:r>
              <w:t xml:space="preserve">2</w:t>
            </w:r>
          </w:p>
        </w:tc>
        <w:tc>
          <w:tcPr/>
          <w:p>
            <w:pPr>
              <w:pStyle w:val="Compact"/>
              <w:jc w:val="left"/>
            </w:pPr>
            <w:r>
              <w:t xml:space="preserve">22,800.00</w:t>
            </w:r>
          </w:p>
        </w:tc>
        <w:tc>
          <w:tcPr/>
          <w:p>
            <w:pPr>
              <w:pStyle w:val="Compact"/>
              <w:jc w:val="left"/>
            </w:pPr>
            <w:r>
              <w:t xml:space="preserve">45,600.00</w:t>
            </w:r>
          </w:p>
        </w:tc>
      </w:tr>
      <w:tr>
        <w:tc>
          <w:tcPr/>
          <w:p>
            <w:pPr>
              <w:pStyle w:val="Compact"/>
              <w:jc w:val="left"/>
            </w:pPr>
            <w:r>
              <w:t xml:space="preserve">05</w:t>
            </w:r>
          </w:p>
        </w:tc>
        <w:tc>
          <w:tcPr/>
          <w:p>
            <w:pPr>
              <w:pStyle w:val="Compact"/>
              <w:jc w:val="left"/>
            </w:pPr>
            <w:r>
              <w:t xml:space="preserve">Monthly Preventive Fire Safety Inspections – Turkey Istanbul District Coverage</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15,400.00</w:t>
            </w:r>
          </w:p>
        </w:tc>
        <w:tc>
          <w:tcPr/>
          <w:p>
            <w:pPr>
              <w:pStyle w:val="Compact"/>
              <w:jc w:val="left"/>
            </w:pPr>
            <w:r>
              <w:t xml:space="preserve">184,800.00</w:t>
            </w:r>
          </w:p>
        </w:tc>
      </w:tr>
      <w:tr>
        <w:tc>
          <w:tcPr/>
          <w:p>
            <w:pPr>
              <w:pStyle w:val="Compact"/>
              <w:jc w:val="left"/>
            </w:pPr>
            <w:r>
              <w:t xml:space="preserve">06</w:t>
            </w:r>
          </w:p>
        </w:tc>
        <w:tc>
          <w:tcPr/>
          <w:p>
            <w:pPr>
              <w:pStyle w:val="Compact"/>
              <w:jc w:val="left"/>
            </w:pPr>
            <w:r>
              <w:t xml:space="preserve">Emergency Response Vehicle Allocation &amp; Fuel (Istanbul Traffic Conditions)</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28,900.00</w:t>
            </w:r>
          </w:p>
        </w:tc>
        <w:tc>
          <w:tcPr/>
          <w:p>
            <w:pPr>
              <w:pStyle w:val="Compact"/>
              <w:jc w:val="left"/>
            </w:pPr>
            <w:r>
              <w:t xml:space="preserve">346,800.00</w:t>
            </w:r>
          </w:p>
        </w:tc>
      </w:tr>
      <w:tr>
        <w:tc>
          <w:tcPr/>
          <w:p>
            <w:pPr>
              <w:pStyle w:val="Compact"/>
              <w:jc w:val="left"/>
            </w:pPr>
            <w:r>
              <w:t xml:space="preserve">07</w:t>
            </w:r>
          </w:p>
        </w:tc>
        <w:tc>
          <w:tcPr/>
          <w:p>
            <w:pPr>
              <w:pStyle w:val="Compact"/>
              <w:jc w:val="left"/>
            </w:pPr>
            <w:r>
              <w:t xml:space="preserve">Communication &amp; Dispatch System Subscription (Istanbul Fire Network)</w:t>
            </w:r>
          </w:p>
        </w:tc>
        <w:tc>
          <w:tcPr/>
          <w:p>
            <w:pPr>
              <w:pStyle w:val="Compact"/>
              <w:jc w:val="left"/>
            </w:pPr>
            <w:r>
              <w:t xml:space="preserve">Year</w:t>
            </w:r>
          </w:p>
        </w:tc>
        <w:tc>
          <w:tcPr/>
          <w:p>
            <w:pPr>
              <w:pStyle w:val="Compact"/>
              <w:jc w:val="left"/>
            </w:pPr>
            <w:r>
              <w:t xml:space="preserve">1</w:t>
            </w:r>
          </w:p>
        </w:tc>
        <w:tc>
          <w:tcPr/>
          <w:p>
            <w:pPr>
              <w:pStyle w:val="Compact"/>
              <w:jc w:val="left"/>
            </w:pPr>
            <w:r>
              <w:t xml:space="preserve">19,750.00</w:t>
            </w:r>
          </w:p>
        </w:tc>
        <w:tc>
          <w:tcPr/>
          <w:p>
            <w:pPr>
              <w:pStyle w:val="Compact"/>
              <w:jc w:val="left"/>
            </w:pPr>
            <w:r>
              <w:t xml:space="preserve">19,750.00</w:t>
            </w:r>
          </w:p>
        </w:tc>
      </w:tr>
      <w:tr>
        <w:tc>
          <w:tcPr/>
          <w:p>
            <w:pPr>
              <w:pStyle w:val="Compact"/>
              <w:jc w:val="left"/>
            </w:pPr>
            <w:r>
              <w:t xml:space="preserve">08</w:t>
            </w:r>
          </w:p>
        </w:tc>
        <w:tc>
          <w:tcPr/>
          <w:p>
            <w:pPr>
              <w:pStyle w:val="Compact"/>
              <w:jc w:val="left"/>
            </w:pPr>
            <w:r>
              <w:t xml:space="preserve">Liability Insurance – Firefighter Operations in Turkey Istanbul</w:t>
            </w:r>
          </w:p>
        </w:tc>
        <w:tc>
          <w:tcPr/>
          <w:p>
            <w:pPr>
              <w:pStyle w:val="Compact"/>
              <w:jc w:val="left"/>
            </w:pPr>
            <w:r>
              <w:t xml:space="preserve">Year</w:t>
            </w:r>
          </w:p>
        </w:tc>
        <w:tc>
          <w:tcPr/>
          <w:p>
            <w:pPr>
              <w:pStyle w:val="Compact"/>
              <w:jc w:val="left"/>
            </w:pPr>
            <w:r>
              <w:t xml:space="preserve">1</w:t>
            </w:r>
          </w:p>
        </w:tc>
        <w:tc>
          <w:tcPr/>
          <w:p>
            <w:pPr>
              <w:pStyle w:val="Compact"/>
              <w:jc w:val="left"/>
            </w:pPr>
            <w:r>
              <w:t xml:space="preserve">52,300.00</w:t>
            </w:r>
          </w:p>
        </w:tc>
        <w:tc>
          <w:tcPr/>
          <w:p>
            <w:pPr>
              <w:pStyle w:val="Compact"/>
              <w:jc w:val="left"/>
            </w:pPr>
            <w:r>
              <w:t xml:space="preserve">52,300.00</w:t>
            </w:r>
          </w:p>
        </w:tc>
      </w:tr>
      <w:tr>
        <w:tc>
          <w:tcPr/>
          <w:p>
            <w:pPr>
              <w:pStyle w:val="Compact"/>
              <w:jc w:val="left"/>
            </w:pPr>
            <w:r>
              <w:t xml:space="preserve">09</w:t>
            </w:r>
          </w:p>
        </w:tc>
        <w:tc>
          <w:tcPr/>
          <w:p>
            <w:pPr>
              <w:pStyle w:val="Compact"/>
              <w:jc w:val="left"/>
            </w:pPr>
            <w:r>
              <w:t xml:space="preserve">Administrative &amp; Compliance Fees (Municipal Permits, Istanbul)</w:t>
            </w:r>
          </w:p>
        </w:tc>
        <w:tc>
          <w:tcPr/>
          <w:p>
            <w:pPr>
              <w:pStyle w:val="Compact"/>
              <w:jc w:val="left"/>
            </w:pPr>
            <w:r>
              <w:t xml:space="preserve">Year</w:t>
            </w:r>
          </w:p>
        </w:tc>
        <w:tc>
          <w:tcPr/>
          <w:p>
            <w:pPr>
              <w:pStyle w:val="Compact"/>
              <w:jc w:val="left"/>
            </w:pPr>
            <w:r>
              <w:t xml:space="preserve">1</w:t>
            </w:r>
          </w:p>
        </w:tc>
        <w:tc>
          <w:tcPr/>
          <w:p>
            <w:pPr>
              <w:pStyle w:val="Compact"/>
              <w:jc w:val="left"/>
            </w:pPr>
            <w:r>
              <w:t xml:space="preserve">12,450.00</w:t>
            </w:r>
          </w:p>
        </w:tc>
        <w:tc>
          <w:tcPr/>
          <w:p>
            <w:pPr>
              <w:pStyle w:val="Compact"/>
              <w:jc w:val="left"/>
            </w:pPr>
            <w:r>
              <w:t xml:space="preserve">12,450.00</w:t>
            </w:r>
          </w:p>
        </w:tc>
      </w:tr>
      <w:tr>
        <w:tc>
          <w:tcPr/>
          <w:p>
            <w:pPr>
              <w:pStyle w:val="Compact"/>
              <w:jc w:val="left"/>
            </w:pPr>
            <w:r>
              <w:t xml:space="preserve">10</w:t>
            </w:r>
          </w:p>
        </w:tc>
        <w:tc>
          <w:tcPr/>
          <w:p>
            <w:pPr>
              <w:pStyle w:val="Compact"/>
              <w:jc w:val="left"/>
            </w:pPr>
            <w:r>
              <w:t xml:space="preserve">Contingency &amp; Operational Reserve (8% of Subtotal)</w:t>
            </w:r>
          </w:p>
        </w:tc>
        <w:tc>
          <w:tcPr/>
          <w:p>
            <w:pPr>
              <w:pStyle w:val="Compact"/>
              <w:jc w:val="left"/>
            </w:pPr>
            <w:r>
              <w:t xml:space="preserve">—</w:t>
            </w:r>
          </w:p>
        </w:tc>
        <w:tc>
          <w:tcPr/>
          <w:p>
            <w:pPr>
              <w:pStyle w:val="Compact"/>
              <w:jc w:val="left"/>
            </w:pPr>
            <w:r>
              <w:t xml:space="preserve">1</w:t>
            </w:r>
          </w:p>
        </w:tc>
        <w:tc>
          <w:tcPr/>
          <w:p>
            <w:pPr>
              <w:pStyle w:val="Compact"/>
              <w:jc w:val="left"/>
            </w:pPr>
            <w:r>
              <w:t xml:space="preserve">—</w:t>
            </w:r>
          </w:p>
        </w:tc>
        <w:tc>
          <w:tcPr/>
          <w:p>
            <w:pPr>
              <w:pStyle w:val="Compact"/>
              <w:jc w:val="left"/>
            </w:pPr>
            <w:r>
              <w:t xml:space="preserve">107,136.00</w:t>
            </w:r>
          </w:p>
        </w:tc>
      </w:tr>
      <w:tr>
        <w:tc>
          <w:tcPr>
            <w:gridSpan w:val="5"/>
          </w:tcPr>
          <w:p>
            <w:pPr>
              <w:pStyle w:val="Compact"/>
              <w:jc w:val="right"/>
            </w:pPr>
            <w:r>
              <w:t xml:space="preserve">GRAND TOTAL (TRY)</w:t>
            </w:r>
          </w:p>
        </w:tc>
        <w:tc>
          <w:tcPr/>
          <w:p>
            <w:pPr>
              <w:pStyle w:val="Compact"/>
              <w:jc w:val="left"/>
            </w:pPr>
            <w:r>
              <w:t xml:space="preserve">1,472,636.00</w:t>
            </w:r>
          </w:p>
        </w:tc>
      </w:tr>
      <w:tr>
        <w:tc>
          <w:tcPr>
            <w:gridSpan w:val="5"/>
          </w:tcPr>
          <w:p>
            <w:pPr>
              <w:pStyle w:val="Compact"/>
              <w:jc w:val="right"/>
            </w:pPr>
            <w:r>
              <w:t xml:space="preserve">VAT (KDV) – 20%</w:t>
            </w:r>
          </w:p>
        </w:tc>
        <w:tc>
          <w:tcPr/>
          <w:p>
            <w:pPr>
              <w:pStyle w:val="Compact"/>
              <w:jc w:val="left"/>
            </w:pPr>
            <w:r>
              <w:t xml:space="preserve">294,527.20</w:t>
            </w:r>
          </w:p>
        </w:tc>
      </w:tr>
      <w:tr>
        <w:tc>
          <w:tcPr>
            <w:gridSpan w:val="5"/>
          </w:tcPr>
          <w:p>
            <w:pPr>
              <w:pStyle w:val="Compact"/>
              <w:jc w:val="right"/>
            </w:pPr>
            <w:r>
              <w:t xml:space="preserve">FINAL TOTAL (TRY)</w:t>
            </w:r>
          </w:p>
        </w:tc>
        <w:tc>
          <w:tcPr/>
          <w:p>
            <w:pPr>
              <w:pStyle w:val="Compact"/>
              <w:jc w:val="left"/>
            </w:pPr>
            <w:r>
              <w:t xml:space="preserve">1,767,163.20</w:t>
            </w:r>
          </w:p>
        </w:tc>
      </w:tr>
    </w:tbl>
    <w:p>
      <w:pPr>
        <w:pStyle w:val="BodyText"/>
      </w:pPr>
      <w:r>
        <w:rPr>
          <w:bCs/>
          <w:b/>
        </w:rPr>
        <w:t xml:space="preserve">Note:</w:t>
      </w:r>
      <w:r>
        <w:t xml:space="preserve"> </w:t>
      </w:r>
      <w:r>
        <w:t xml:space="preserve">All prices in this Quotation Estimate are quoted in Turkish Lira (TRY) and are subject to revision in the event of significant currency fluctuation exceeding 10% between the date of issue and the date of contract execution. The Firefighter services described herein are exclusively scoped for operations within the administrative boundaries of Turkey Istanbul.</w:t>
      </w:r>
    </w:p>
    <w:bookmarkEnd w:id="23"/>
    <w:bookmarkStart w:id="24" w:name="terms-and-conditions"/>
    <w:p>
      <w:pPr>
        <w:pStyle w:val="Heading2"/>
      </w:pPr>
      <w:r>
        <w:t xml:space="preserve">4. Terms and Conditions</w:t>
      </w:r>
    </w:p>
    <w:p>
      <w:pPr>
        <w:numPr>
          <w:ilvl w:val="0"/>
          <w:numId w:val="1002"/>
        </w:numPr>
        <w:pStyle w:val="Compact"/>
      </w:pPr>
      <w:r>
        <w:t xml:space="preserve">This Quotation Estimate is valid for thirty (30) calendar days from the date of issue. Beyond this period, all pricing for the Firefighter engagement in Turkey Istanbul is subject to re-evaluation.</w:t>
      </w:r>
    </w:p>
    <w:p>
      <w:pPr>
        <w:numPr>
          <w:ilvl w:val="0"/>
          <w:numId w:val="1002"/>
        </w:numPr>
        <w:pStyle w:val="Compact"/>
      </w:pPr>
      <w:r>
        <w:t xml:space="preserve">Payment terms: 40% advance upon contract signing, 30% upon successful deployment of the Firefighter at the Istanbul station, and 30% upon completion of the first full quarter of service.</w:t>
      </w:r>
    </w:p>
    <w:p>
      <w:pPr>
        <w:numPr>
          <w:ilvl w:val="0"/>
          <w:numId w:val="1002"/>
        </w:numPr>
        <w:pStyle w:val="Compact"/>
      </w:pPr>
      <w:r>
        <w:t xml:space="preserve">The Firefighter shall be subject to all applicable labor laws of the Republic of Turkey, including the 4857 Labor Code, and shall be registered with the relevant SGK (Social Security Institution) office in Istanbul.</w:t>
      </w:r>
    </w:p>
    <w:p>
      <w:pPr>
        <w:numPr>
          <w:ilvl w:val="0"/>
          <w:numId w:val="1002"/>
        </w:numPr>
        <w:pStyle w:val="Compact"/>
      </w:pPr>
      <w:r>
        <w:t xml:space="preserve">Any modification to the scope of Firefighter services, including additional districts within Turkey Istanbul or extended operational hours, shall require a written amendment to this Quotation Estimate.</w:t>
      </w:r>
    </w:p>
    <w:p>
      <w:pPr>
        <w:numPr>
          <w:ilvl w:val="0"/>
          <w:numId w:val="1002"/>
        </w:numPr>
        <w:pStyle w:val="Compact"/>
      </w:pPr>
      <w:r>
        <w:t xml:space="preserve">The contractor guarantees that the assigned Firefighter holds all necessary certifications and is medically fit for duty as per the Istanbul Fire Department's health standards.</w:t>
      </w:r>
    </w:p>
    <w:p>
      <w:pPr>
        <w:numPr>
          <w:ilvl w:val="0"/>
          <w:numId w:val="1002"/>
        </w:numPr>
        <w:pStyle w:val="Compact"/>
      </w:pPr>
      <w:r>
        <w:t xml:space="preserve">Force majeure events, including but not limited to natural disasters affecting Turkey Istanbul, shall be governed by the relevant provisions of the Turkish Civil Code (Türk Borçlar Kanunu).</w:t>
      </w:r>
    </w:p>
    <w:p>
      <w:pPr>
        <w:numPr>
          <w:ilvl w:val="0"/>
          <w:numId w:val="1002"/>
        </w:numPr>
        <w:pStyle w:val="Compact"/>
      </w:pPr>
      <w:r>
        <w:t xml:space="preserve">This Quotation Estimate does not constitute a binding contract until formally accepted in writing by both parties and countersigned by an authorized representative.</w:t>
      </w:r>
    </w:p>
    <w:bookmarkEnd w:id="24"/>
    <w:bookmarkStart w:id="25" w:name="acceptance-and-authorization"/>
    <w:p>
      <w:pPr>
        <w:pStyle w:val="Heading2"/>
      </w:pPr>
      <w:r>
        <w:t xml:space="preserve">5. Acceptance and Authorization</w:t>
      </w:r>
    </w:p>
    <w:p>
      <w:pPr>
        <w:pStyle w:val="FirstParagraph"/>
      </w:pPr>
      <w:r>
        <w:t xml:space="preserve">By signing below, the recipient acknowledges receipt of this</w:t>
      </w:r>
      <w:r>
        <w:t xml:space="preserve"> </w:t>
      </w:r>
      <w:r>
        <w:t xml:space="preserve">Quotation Estimate</w:t>
      </w:r>
      <w:r>
        <w:t xml:space="preserve"> </w:t>
      </w:r>
      <w:r>
        <w:t xml:space="preserve">for</w:t>
      </w:r>
      <w:r>
        <w:t xml:space="preserve"> </w:t>
      </w:r>
      <w:r>
        <w:t xml:space="preserve">Firefighter</w:t>
      </w:r>
      <w:r>
        <w:t xml:space="preserve"> </w:t>
      </w:r>
      <w:r>
        <w:t xml:space="preserve">services in</w:t>
      </w:r>
      <w:r>
        <w:t xml:space="preserve"> </w:t>
      </w:r>
      <w:r>
        <w:t xml:space="preserve">Turkey Istanbul</w:t>
      </w:r>
      <w:r>
        <w:t xml:space="preserve"> </w:t>
      </w:r>
      <w:r>
        <w:t xml:space="preserve">and agrees to the terms, conditions, and pricing outlined herein. This acceptance shall serve as the basis for the subsequent formal service contract.</w:t>
      </w:r>
    </w:p>
    <w:p>
      <w:pPr>
        <w:pStyle w:val="BodyText"/>
      </w:pPr>
      <w:r>
        <w:rPr>
          <w:bCs/>
          <w:b/>
        </w:rPr>
        <w:t xml:space="preserve">Prepared By (Contractor):</w:t>
      </w:r>
    </w:p>
    <w:p>
      <w:pPr>
        <w:pStyle w:val="BodyText"/>
      </w:pPr>
      <w:r>
        <w:t xml:space="preserve">Name: Emre Kaya</w:t>
      </w:r>
      <w:r>
        <w:br/>
      </w:r>
      <w:r>
        <w:t xml:space="preserve">Title: Operations Director</w:t>
      </w:r>
      <w:r>
        <w:br/>
      </w:r>
      <w:r>
        <w:t xml:space="preserve">Signature &amp; Date: ______________________</w:t>
      </w:r>
    </w:p>
    <w:p>
      <w:pPr>
        <w:pStyle w:val="BodyText"/>
      </w:pPr>
      <w:r>
        <w:rPr>
          <w:bCs/>
          <w:b/>
        </w:rPr>
        <w:t xml:space="preserve">Accepted By (Client):</w:t>
      </w:r>
    </w:p>
    <w:p>
      <w:pPr>
        <w:pStyle w:val="BodyText"/>
      </w:pPr>
      <w:r>
        <w:t xml:space="preserve">Name: ______________________</w:t>
      </w:r>
      <w:r>
        <w:br/>
      </w:r>
      <w:r>
        <w:t xml:space="preserve">Title: ______________________</w:t>
      </w:r>
      <w:r>
        <w:br/>
      </w:r>
      <w:r>
        <w:t xml:space="preserve">Signature &amp; Date: ______________________</w:t>
      </w:r>
    </w:p>
    <w:p>
      <w:pPr>
        <w:pStyle w:val="BodyText"/>
      </w:pPr>
      <w:r>
        <w:t xml:space="preserve">This Quotation Estimate document was generated for Firefighter service procurement in Turkey Istanbul. Document Reference: QTE-IST-2025-00847. For inquiries, please contact our Istanbul office at +90 212 555 0142. All rights reserved. © 2025 Firefighter Services &amp; Safety Solutions Ltd. (Türkiye)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Firefighter Services - Turkey Istanbul</dc:title>
  <dc:creator/>
  <dc:language>en</dc:language>
  <cp:keywords/>
  <dcterms:created xsi:type="dcterms:W3CDTF">2026-10-10T02:45:49Z</dcterms:created>
  <dcterms:modified xsi:type="dcterms:W3CDTF">2026-10-10T02:45:49Z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