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geoandes-professional-services-s.a.s."/>
    <w:p>
      <w:pPr>
        <w:pStyle w:val="Heading1"/>
      </w:pPr>
      <w:r>
        <w:t xml:space="preserve">GeoAndes Professional Services S.A.S.</w:t>
      </w:r>
    </w:p>
    <w:p>
      <w:pPr>
        <w:pStyle w:val="FirstParagraph"/>
      </w:pPr>
      <w:r>
        <w:t xml:space="preserve">Calle 43A # 52-180, Of. 904, El Poblado, Medellín, Antioquia, Colombia</w:t>
      </w:r>
    </w:p>
    <w:p>
      <w:pPr>
        <w:pStyle w:val="BodyText"/>
      </w:pPr>
      <w:r>
        <w:t xml:space="preserve">NIT: 901.234.567-8 | RUT: Active | Phone: +57 (604) 444 5566 | Email: quotes@geoandes.co</w:t>
      </w:r>
    </w:p>
    <w:p>
      <w:pPr>
        <w:pStyle w:val="BodyText"/>
      </w:pPr>
      <w:r>
        <w:t xml:space="preserve">Registered with the Colombian Geological Service (Servicio Geológico Colombiano) – License No. SGC-2024-0871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QE-2025-MDE-0347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Colombia Medellín, Antioquia Department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Constructora Valle del Aburrá S.A.S.</w:t>
      </w:r>
    </w:p>
    <w:p>
      <w:pPr>
        <w:pStyle w:val="BodyText"/>
      </w:pPr>
      <w:r>
        <w:rPr>
          <w:bCs/>
          <w:b/>
        </w:rPr>
        <w:t xml:space="preserve">Contact:</w:t>
      </w:r>
      <w:r>
        <w:t xml:space="preserve"> </w:t>
      </w:r>
      <w:r>
        <w:t xml:space="preserve">Ing. María Fernanda Restrepo</w:t>
      </w:r>
    </w:p>
    <w:p>
      <w:pPr>
        <w:pStyle w:val="BodyText"/>
      </w:pPr>
      <w:r>
        <w:rPr>
          <w:bCs/>
          <w:b/>
        </w:rPr>
        <w:t xml:space="preserve">Address:</w:t>
      </w:r>
      <w:r>
        <w:t xml:space="preserve"> </w:t>
      </w:r>
      <w:r>
        <w:t xml:space="preserve">Av. La Playa # 45-20, Medellín, Colombia</w:t>
      </w:r>
    </w:p>
    <w:p>
      <w:pPr>
        <w:pStyle w:val="BodyText"/>
      </w:pPr>
      <w:r>
        <w:rPr>
          <w:bCs/>
          <w:b/>
        </w:rPr>
        <w:t xml:space="preserve">NIT:</w:t>
      </w:r>
      <w:r>
        <w:t xml:space="preserve"> </w:t>
      </w:r>
      <w:r>
        <w:t xml:space="preserve">830.456.789-1</w:t>
      </w:r>
    </w:p>
    <w:bookmarkEnd w:id="22"/>
    <w:p>
      <w:pPr>
        <w:pStyle w:val="BodyText"/>
      </w:pPr>
      <w:r>
        <w:t xml:space="preserve">1. Scope of Services – Geologist Consultation in Colombia Medellín</w:t>
      </w:r>
    </w:p>
    <w:p>
      <w:pPr>
        <w:pStyle w:val="BodyText"/>
      </w:pPr>
      <w:r>
        <w:t xml:space="preserve">This</w:t>
      </w:r>
      <w:r>
        <w:t xml:space="preserve"> </w:t>
      </w:r>
      <w:r>
        <w:t xml:space="preserve">Quotation Estimate</w:t>
      </w:r>
      <w:r>
        <w:t xml:space="preserve"> </w:t>
      </w:r>
      <w:r>
        <w:t xml:space="preserve">is issued by GeoAndes Professional Services S.A.S. to provide comprehensive geological consulting services delivered by a licensed</w:t>
      </w:r>
      <w:r>
        <w:t xml:space="preserve"> </w:t>
      </w:r>
      <w:r>
        <w:t xml:space="preserve">Geologist</w:t>
      </w:r>
      <w:r>
        <w:t xml:space="preserve"> </w:t>
      </w:r>
      <w:r>
        <w:t xml:space="preserve">for the proposed mixed-use development project located in the Aburrá Valley region of</w:t>
      </w:r>
      <w:r>
        <w:t xml:space="preserve"> </w:t>
      </w:r>
      <w:r>
        <w:t xml:space="preserve">Colombia Medellín</w:t>
      </w:r>
      <w:r>
        <w:t xml:space="preserve">. The</w:t>
      </w:r>
      <w:r>
        <w:t xml:space="preserve"> </w:t>
      </w:r>
      <w:r>
        <w:t xml:space="preserve">Geologist</w:t>
      </w:r>
      <w:r>
        <w:t xml:space="preserve"> </w:t>
      </w:r>
      <w:r>
        <w:t xml:space="preserve">assigned to this engagement, Dr. Alejandro Cárdena (MSc. in Engineering Geology, Universidad de Antioquia), holds over fifteen years of field experience conducting geological assessments across the Andean geological formations characteristic of the</w:t>
      </w:r>
      <w:r>
        <w:t xml:space="preserve"> </w:t>
      </w:r>
      <w:r>
        <w:t xml:space="preserve">Colombia Medellín</w:t>
      </w:r>
      <w:r>
        <w:t xml:space="preserve"> </w:t>
      </w:r>
      <w:r>
        <w:t xml:space="preserve">metropolitan area and its surrounding municipalities.</w:t>
      </w:r>
    </w:p>
    <w:p>
      <w:pPr>
        <w:pStyle w:val="BodyText"/>
      </w:pPr>
      <w:r>
        <w:t xml:space="preserve">The services outlined in this</w:t>
      </w:r>
      <w:r>
        <w:t xml:space="preserve"> </w:t>
      </w:r>
      <w:r>
        <w:t xml:space="preserve">Quotation Estimate</w:t>
      </w:r>
      <w:r>
        <w:t xml:space="preserve"> </w:t>
      </w:r>
      <w:r>
        <w:t xml:space="preserve">encompass a full-cycle geological investigation, including but not limited to: site reconnaissance, subsurface characterization, geotechnical mapping, seismic hazard assessment, groundwater evaluation, and the preparation of a comprehensive geological report compliant with the Colombian National Construction Code (Código de Construcción Sismo Resistente, NSR-10) and the regulations established by the Servicio Geológico Colombiano for the</w:t>
      </w:r>
      <w:r>
        <w:t xml:space="preserve"> </w:t>
      </w:r>
      <w:r>
        <w:t xml:space="preserve">Colombia Medellín</w:t>
      </w:r>
      <w:r>
        <w:t xml:space="preserve"> </w:t>
      </w:r>
      <w:r>
        <w:t xml:space="preserve">jurisdiction.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Total (COP)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reconnaissance and geological mapping by the</w:t>
            </w:r>
            <w:r>
              <w:t xml:space="preserve"> </w:t>
            </w:r>
            <w:r>
              <w:t xml:space="preserve">Geologist</w:t>
            </w:r>
            <w:r>
              <w:t xml:space="preserve"> </w:t>
            </w:r>
            <w:r>
              <w:t xml:space="preserve">at the project site in</w:t>
            </w:r>
            <w:r>
              <w:t xml:space="preserve"> </w:t>
            </w:r>
            <w:r>
              <w:t xml:space="preserve">Colombia Medellín</w:t>
            </w:r>
            <w:r>
              <w:t xml:space="preserve"> </w:t>
            </w:r>
            <w:r>
              <w:t xml:space="preserve">(El Poblado sector)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 days</w:t>
            </w:r>
          </w:p>
        </w:tc>
      </w:tr>
      <w:tr>
        <w:tc>
          <w:tcPr/>
          <w:p>
            <w:pPr>
              <w:pStyle w:val="Compact"/>
              <w:jc w:val="left"/>
            </w:pPr>
            <w:r>
              <w:t xml:space="preserve">02</w:t>
            </w:r>
          </w:p>
        </w:tc>
        <w:tc>
          <w:tcPr/>
          <w:p>
            <w:pPr>
              <w:pStyle w:val="Compact"/>
              <w:jc w:val="left"/>
            </w:pPr>
            <w:r>
              <w:t xml:space="preserve">Subsurface investigation: 4 boreholes (depth 25 m each) with standard penetration tests (SPT) and soil sampling</w:t>
            </w:r>
          </w:p>
        </w:tc>
        <w:tc>
          <w:tcPr/>
          <w:p>
            <w:pPr>
              <w:pStyle w:val="Compact"/>
              <w:jc w:val="left"/>
            </w:pPr>
            <w:r>
              <w:t xml:space="preserve">4</w:t>
            </w:r>
          </w:p>
        </w:tc>
        <w:tc>
          <w:tcPr/>
          <w:p>
            <w:pPr>
              <w:pStyle w:val="Compact"/>
              <w:jc w:val="left"/>
            </w:pPr>
            <w:r>
              <w:t xml:space="preserve">8,200,000</w:t>
            </w:r>
          </w:p>
        </w:tc>
        <w:tc>
          <w:tcPr/>
          <w:p>
            <w:pPr>
              <w:pStyle w:val="Compact"/>
              <w:jc w:val="left"/>
            </w:pPr>
            <w:r>
              <w:t xml:space="preserve">32,800,000</w:t>
            </w:r>
          </w:p>
        </w:tc>
        <w:tc>
          <w:tcPr/>
          <w:p>
            <w:pPr>
              <w:pStyle w:val="Compact"/>
              <w:jc w:val="left"/>
            </w:pPr>
            <w:r>
              <w:t xml:space="preserve">10 days</w:t>
            </w:r>
          </w:p>
        </w:tc>
      </w:tr>
      <w:tr>
        <w:tc>
          <w:tcPr/>
          <w:p>
            <w:pPr>
              <w:pStyle w:val="Compact"/>
              <w:jc w:val="left"/>
            </w:pPr>
            <w:r>
              <w:t xml:space="preserve">03</w:t>
            </w:r>
          </w:p>
        </w:tc>
        <w:tc>
          <w:tcPr/>
          <w:p>
            <w:pPr>
              <w:pStyle w:val="Compact"/>
              <w:jc w:val="left"/>
            </w:pPr>
            <w:r>
              <w:t xml:space="preserve">Geotechnical laboratory analysis of soil and rock samples (Atterberg limits, triaxial compression, uniaxial compressive strength, XRD mineralogy)</w:t>
            </w:r>
          </w:p>
        </w:tc>
        <w:tc>
          <w:tcPr/>
          <w:p>
            <w:pPr>
              <w:pStyle w:val="Compact"/>
              <w:jc w:val="left"/>
            </w:pPr>
            <w:r>
              <w:t xml:space="preserve">1</w:t>
            </w:r>
          </w:p>
        </w:tc>
        <w:tc>
          <w:tcPr/>
          <w:p>
            <w:pPr>
              <w:pStyle w:val="Compact"/>
              <w:jc w:val="left"/>
            </w:pPr>
            <w:r>
              <w:t xml:space="preserve">12,600,000</w:t>
            </w:r>
          </w:p>
        </w:tc>
        <w:tc>
          <w:tcPr/>
          <w:p>
            <w:pPr>
              <w:pStyle w:val="Compact"/>
              <w:jc w:val="left"/>
            </w:pPr>
            <w:r>
              <w:t xml:space="preserve">12,600,000</w:t>
            </w:r>
          </w:p>
        </w:tc>
        <w:tc>
          <w:tcPr/>
          <w:p>
            <w:pPr>
              <w:pStyle w:val="Compact"/>
              <w:jc w:val="left"/>
            </w:pPr>
            <w:r>
              <w:t xml:space="preserve">15 days</w:t>
            </w:r>
          </w:p>
        </w:tc>
      </w:tr>
      <w:tr>
        <w:tc>
          <w:tcPr/>
          <w:p>
            <w:pPr>
              <w:pStyle w:val="Compact"/>
              <w:jc w:val="left"/>
            </w:pPr>
            <w:r>
              <w:t xml:space="preserve">04</w:t>
            </w:r>
          </w:p>
        </w:tc>
        <w:tc>
          <w:tcPr/>
          <w:p>
            <w:pPr>
              <w:pStyle w:val="Compact"/>
              <w:jc w:val="left"/>
            </w:pPr>
            <w:r>
              <w:t xml:space="preserve">Seismic microzonation and liquefaction potential assessment per NSR-10 for the</w:t>
            </w:r>
            <w:r>
              <w:t xml:space="preserve"> </w:t>
            </w:r>
            <w:r>
              <w:t xml:space="preserve">Colombia Medellín</w:t>
            </w:r>
            <w:r>
              <w:t xml:space="preserve"> </w:t>
            </w:r>
            <w:r>
              <w:t xml:space="preserve">zone</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c>
          <w:tcPr/>
          <w:p>
            <w:pPr>
              <w:pStyle w:val="Compact"/>
              <w:jc w:val="left"/>
            </w:pPr>
            <w:r>
              <w:t xml:space="preserve">7 days</w:t>
            </w:r>
          </w:p>
        </w:tc>
      </w:tr>
      <w:tr>
        <w:tc>
          <w:tcPr/>
          <w:p>
            <w:pPr>
              <w:pStyle w:val="Compact"/>
              <w:jc w:val="left"/>
            </w:pPr>
            <w:r>
              <w:t xml:space="preserve">05</w:t>
            </w:r>
          </w:p>
        </w:tc>
        <w:tc>
          <w:tcPr/>
          <w:p>
            <w:pPr>
              <w:pStyle w:val="Compact"/>
              <w:jc w:val="left"/>
            </w:pPr>
            <w:r>
              <w:t xml:space="preserve">Groundwater hydrogeological study: piezometer installation (2 units), water quality analysis, and flow direction mapping</w:t>
            </w:r>
          </w:p>
        </w:tc>
        <w:tc>
          <w:tcPr/>
          <w:p>
            <w:pPr>
              <w:pStyle w:val="Compact"/>
              <w:jc w:val="left"/>
            </w:pPr>
            <w:r>
              <w:t xml:space="preserve">1</w:t>
            </w:r>
          </w:p>
        </w:tc>
        <w:tc>
          <w:tcPr/>
          <w:p>
            <w:pPr>
              <w:pStyle w:val="Compact"/>
              <w:jc w:val="left"/>
            </w:pPr>
            <w:r>
              <w:t xml:space="preserve">6,400,000</w:t>
            </w:r>
          </w:p>
        </w:tc>
        <w:tc>
          <w:tcPr/>
          <w:p>
            <w:pPr>
              <w:pStyle w:val="Compact"/>
              <w:jc w:val="left"/>
            </w:pPr>
            <w:r>
              <w:t xml:space="preserve">6,400,000</w:t>
            </w:r>
          </w:p>
        </w:tc>
        <w:tc>
          <w:tcPr/>
          <w:p>
            <w:pPr>
              <w:pStyle w:val="Compact"/>
              <w:jc w:val="left"/>
            </w:pPr>
            <w:r>
              <w:t xml:space="preserve">8 days</w:t>
            </w:r>
          </w:p>
        </w:tc>
      </w:tr>
      <w:tr>
        <w:tc>
          <w:tcPr/>
          <w:p>
            <w:pPr>
              <w:pStyle w:val="Compact"/>
              <w:jc w:val="left"/>
            </w:pPr>
            <w:r>
              <w:t xml:space="preserve">06</w:t>
            </w:r>
          </w:p>
        </w:tc>
        <w:tc>
          <w:tcPr/>
          <w:p>
            <w:pPr>
              <w:pStyle w:val="Compact"/>
              <w:jc w:val="left"/>
            </w:pPr>
            <w:r>
              <w:t xml:space="preserve">Preparation of the final Geological and Geotechnical Report by the</w:t>
            </w:r>
            <w:r>
              <w:t xml:space="preserve"> </w:t>
            </w:r>
            <w:r>
              <w:t xml:space="preserve">Geologist</w:t>
            </w:r>
            <w:r>
              <w:t xml:space="preserve">, including recommendations for foundation design, slope stability, and dewatering systems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12 days</w:t>
            </w:r>
          </w:p>
        </w:tc>
      </w:tr>
      <w:tr>
        <w:tc>
          <w:tcPr/>
          <w:p>
            <w:pPr>
              <w:pStyle w:val="Compact"/>
              <w:jc w:val="left"/>
            </w:pPr>
            <w:r>
              <w:t xml:space="preserve">07</w:t>
            </w:r>
          </w:p>
        </w:tc>
        <w:tc>
          <w:tcPr/>
          <w:p>
            <w:pPr>
              <w:pStyle w:val="Compact"/>
              <w:jc w:val="left"/>
            </w:pPr>
            <w:r>
              <w:t xml:space="preserve">Regulatory submission support: filing the geological report with the Secretaría de Planeación de Medellín and the Servicio Geológico Colombiano</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5 days</w:t>
            </w:r>
          </w:p>
        </w:tc>
      </w:tr>
      <w:tr>
        <w:tc>
          <w:tcPr/>
          <w:p>
            <w:pPr>
              <w:pStyle w:val="Compact"/>
              <w:jc w:val="left"/>
            </w:pPr>
            <w:r>
              <w:t xml:space="preserve">08</w:t>
            </w:r>
          </w:p>
        </w:tc>
        <w:tc>
          <w:tcPr/>
          <w:p>
            <w:pPr>
              <w:pStyle w:val="Compact"/>
              <w:jc w:val="left"/>
            </w:pPr>
            <w:r>
              <w:t xml:space="preserve">On-site supervision during excavation phase (presence of the</w:t>
            </w:r>
            <w:r>
              <w:t xml:space="preserve"> </w:t>
            </w:r>
            <w:r>
              <w:t xml:space="preserve">Geologist</w:t>
            </w:r>
            <w:r>
              <w:t xml:space="preserve"> </w:t>
            </w:r>
            <w:r>
              <w:t xml:space="preserve">for 10 working days)</w:t>
            </w:r>
          </w:p>
        </w:tc>
        <w:tc>
          <w:tcPr/>
          <w:p>
            <w:pPr>
              <w:pStyle w:val="Compact"/>
              <w:jc w:val="left"/>
            </w:pPr>
            <w:r>
              <w:t xml:space="preserve">10</w:t>
            </w:r>
          </w:p>
        </w:tc>
        <w:tc>
          <w:tcPr/>
          <w:p>
            <w:pPr>
              <w:pStyle w:val="Compact"/>
              <w:jc w:val="left"/>
            </w:pPr>
            <w:r>
              <w:t xml:space="preserve">480,000</w:t>
            </w:r>
          </w:p>
        </w:tc>
        <w:tc>
          <w:tcPr/>
          <w:p>
            <w:pPr>
              <w:pStyle w:val="Compact"/>
              <w:jc w:val="left"/>
            </w:pPr>
            <w:r>
              <w:t xml:space="preserve">4,800,000</w:t>
            </w:r>
          </w:p>
        </w:tc>
        <w:tc>
          <w:tcPr/>
          <w:p>
            <w:pPr>
              <w:pStyle w:val="Compact"/>
              <w:jc w:val="left"/>
            </w:pPr>
            <w:r>
              <w:t xml:space="preserve">10 days</w:t>
            </w:r>
          </w:p>
        </w:tc>
      </w:tr>
      <w:tr>
        <w:tc>
          <w:tcPr>
            <w:gridSpan w:val="4"/>
          </w:tcPr>
          <w:p>
            <w:pPr>
              <w:pStyle w:val="Compact"/>
              <w:jc w:val="left"/>
            </w:pPr>
            <w:r>
              <w:t xml:space="preserve">SUBTOTAL</w:t>
            </w:r>
          </w:p>
        </w:tc>
        <w:tc>
          <w:tcPr/>
          <w:p>
            <w:pPr>
              <w:pStyle w:val="Compact"/>
              <w:jc w:val="left"/>
            </w:pPr>
            <w:r>
              <w:t xml:space="preserve">80,600,000</w:t>
            </w:r>
          </w:p>
        </w:tc>
        <w:tc>
          <w:tcPr/>
          <w:p>
            <w:pPr>
              <w:pStyle w:val="Compact"/>
            </w:pPr>
          </w:p>
        </w:tc>
      </w:tr>
      <w:tr>
        <w:tc>
          <w:tcPr>
            <w:gridSpan w:val="4"/>
          </w:tcPr>
          <w:p>
            <w:pPr>
              <w:pStyle w:val="Compact"/>
              <w:jc w:val="left"/>
            </w:pPr>
            <w:r>
              <w:t xml:space="preserve">VAT (IVA) 19%</w:t>
            </w:r>
          </w:p>
        </w:tc>
        <w:tc>
          <w:tcPr/>
          <w:p>
            <w:pPr>
              <w:pStyle w:val="Compact"/>
              <w:jc w:val="left"/>
            </w:pPr>
            <w:r>
              <w:t xml:space="preserve">15,314,000</w:t>
            </w:r>
          </w:p>
        </w:tc>
        <w:tc>
          <w:tcPr/>
          <w:p>
            <w:pPr>
              <w:pStyle w:val="Compact"/>
            </w:pPr>
          </w:p>
        </w:tc>
      </w:tr>
      <w:tr>
        <w:tc>
          <w:tcPr>
            <w:gridSpan w:val="4"/>
          </w:tcPr>
          <w:p>
            <w:pPr>
              <w:pStyle w:val="Compact"/>
              <w:jc w:val="left"/>
            </w:pPr>
            <w:r>
              <w:t xml:space="preserve">TOTAL (COP)</w:t>
            </w:r>
          </w:p>
        </w:tc>
        <w:tc>
          <w:tcPr/>
          <w:p>
            <w:pPr>
              <w:pStyle w:val="Compact"/>
              <w:jc w:val="left"/>
            </w:pPr>
            <w:r>
              <w:t xml:space="preserve">95,914,000</w:t>
            </w:r>
          </w:p>
        </w:tc>
        <w:tc>
          <w:tcPr/>
          <w:p>
            <w:pPr>
              <w:pStyle w:val="Compact"/>
            </w:pPr>
          </w:p>
        </w:tc>
      </w:tr>
      <w:tr>
        <w:tc>
          <w:tcPr>
            <w:gridSpan w:val="4"/>
          </w:tcPr>
          <w:p>
            <w:pPr>
              <w:pStyle w:val="Compact"/>
              <w:jc w:val="left"/>
            </w:pPr>
            <w:r>
              <w:t xml:space="preserve">TOTAL (USD – approx. at 3,950 COP/USD)</w:t>
            </w:r>
          </w:p>
        </w:tc>
        <w:tc>
          <w:tcPr/>
          <w:p>
            <w:pPr>
              <w:pStyle w:val="Compact"/>
              <w:jc w:val="left"/>
            </w:pPr>
            <w:r>
              <w:t xml:space="preserve">$24,282.03</w:t>
            </w:r>
          </w:p>
        </w:tc>
        <w:tc>
          <w:tcPr/>
          <w:p>
            <w:pPr>
              <w:pStyle w:val="Compact"/>
            </w:pPr>
          </w:p>
        </w:tc>
      </w:tr>
    </w:tbl>
    <w:p>
      <w:pPr>
        <w:pStyle w:val="BodyText"/>
      </w:pPr>
      <w:r>
        <w:t xml:space="preserve">3. Terms and Conditions of This Quotation Estimate</w:t>
      </w:r>
    </w:p>
    <w:p>
      <w:pPr>
        <w:pStyle w:val="BodyText"/>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prices may be adjusted to reflect changes in material costs, fuel surcharges, or regulatory fee modifications applicable in</w:t>
      </w:r>
      <w:r>
        <w:t xml:space="preserve"> </w:t>
      </w:r>
      <w:r>
        <w:t xml:space="preserve">Colombia Medellín</w:t>
      </w:r>
      <w:r>
        <w:t xml:space="preserve">.</w:t>
      </w:r>
    </w:p>
    <w:p>
      <w:pPr>
        <w:pStyle w:val="BodyText"/>
      </w:pPr>
      <w:r>
        <w:rPr>
          <w:bCs/>
          <w:b/>
        </w:rPr>
        <w:t xml:space="preserve">3.2 Payment Schedule:</w:t>
      </w:r>
      <w:r>
        <w:t xml:space="preserve"> </w:t>
      </w:r>
      <w:r>
        <w:t xml:space="preserve">40% upon contract signing, 35% upon completion of fieldwork (boreholes and sampling), and 25% upon delivery and acceptance of the final geological report. All payments shall be made in Colombian Pesos (COP) via bank transfer to the account of GeoAndes Professional Services S.A.S.</w:t>
      </w:r>
    </w:p>
    <w:p>
      <w:pPr>
        <w:pStyle w:val="BodyText"/>
      </w:pPr>
      <w:r>
        <w:rPr>
          <w:bCs/>
          <w:b/>
        </w:rPr>
        <w:t xml:space="preserve">3.3 Professional Liability:</w:t>
      </w:r>
      <w:r>
        <w:t xml:space="preserve"> </w:t>
      </w:r>
      <w:r>
        <w:t xml:space="preserve">The</w:t>
      </w:r>
      <w:r>
        <w:t xml:space="preserve"> </w:t>
      </w:r>
      <w:r>
        <w:t xml:space="preserve">Geologist</w:t>
      </w:r>
      <w:r>
        <w:t xml:space="preserve"> </w:t>
      </w:r>
      <w:r>
        <w:t xml:space="preserve">and GeoAndes Professional Services S.A.S. maintain professional liability insurance (póliza de responsabilidad civil profesional) with a coverage of COP 500,000,000, as required by the Colombian Chamber of Geologists (Colegio Colombiano de Geólogos).</w:t>
      </w:r>
    </w:p>
    <w:p>
      <w:pPr>
        <w:pStyle w:val="BodyText"/>
      </w:pPr>
      <w:r>
        <w:rPr>
          <w:bCs/>
          <w:b/>
        </w:rPr>
        <w:t xml:space="preserve">3.4 Intellectual Property:</w:t>
      </w:r>
      <w:r>
        <w:t xml:space="preserve"> </w:t>
      </w:r>
      <w:r>
        <w:t xml:space="preserve">All data, maps, borehole logs, and reports generated under this</w:t>
      </w:r>
      <w:r>
        <w:t xml:space="preserve"> </w:t>
      </w:r>
      <w:r>
        <w:t xml:space="preserve">Quotation Estimate</w:t>
      </w:r>
      <w:r>
        <w:t xml:space="preserve"> </w:t>
      </w:r>
      <w:r>
        <w:t xml:space="preserve">shall remain the exclusive property of the client upon full payment. The</w:t>
      </w:r>
      <w:r>
        <w:t xml:space="preserve"> </w:t>
      </w:r>
      <w:r>
        <w:t xml:space="preserve">Geologist</w:t>
      </w:r>
      <w:r>
        <w:t xml:space="preserve"> </w:t>
      </w:r>
      <w:r>
        <w:t xml:space="preserve">retains the right to reference the project in academic publications with prior written consent.</w:t>
      </w:r>
    </w:p>
    <w:p>
      <w:pPr>
        <w:pStyle w:val="BodyText"/>
      </w:pPr>
      <w:r>
        <w:rPr>
          <w:bCs/>
          <w:b/>
        </w:rPr>
        <w:t xml:space="preserve">3.5 Force Majeure:</w:t>
      </w:r>
      <w:r>
        <w:t xml:space="preserve"> </w:t>
      </w:r>
      <w:r>
        <w:t xml:space="preserve">Delays caused by seismic events, volcanic activity (including but not limited to the Nevado del Ruiz), heavy rainfall typical of the</w:t>
      </w:r>
      <w:r>
        <w:t xml:space="preserve"> </w:t>
      </w:r>
      <w:r>
        <w:t xml:space="preserve">Colombia Medellín</w:t>
      </w:r>
      <w:r>
        <w:t xml:space="preserve"> </w:t>
      </w:r>
      <w:r>
        <w:t xml:space="preserve">climate, or government-mandated work stoppages shall extend the project timeline without penalty to either party.</w:t>
      </w:r>
    </w:p>
    <w:p>
      <w:pPr>
        <w:pStyle w:val="BodyText"/>
      </w:pPr>
      <w:r>
        <w:rPr>
          <w:bCs/>
          <w:b/>
        </w:rPr>
        <w:t xml:space="preserve">3.6 Governing Law:</w:t>
      </w:r>
      <w:r>
        <w:t xml:space="preserve"> </w:t>
      </w:r>
      <w:r>
        <w:t xml:space="preserve">This</w:t>
      </w:r>
      <w:r>
        <w:t xml:space="preserve"> </w:t>
      </w:r>
      <w:r>
        <w:t xml:space="preserve">Quotation Estimate</w:t>
      </w:r>
      <w:r>
        <w:t xml:space="preserve"> </w:t>
      </w:r>
      <w:r>
        <w:t xml:space="preserve">and any resulting contract shall be governed by the civil and commercial laws of the Republic of Colombia. Disputes shall be resolved by the competent courts of</w:t>
      </w:r>
      <w:r>
        <w:t xml:space="preserve"> </w:t>
      </w:r>
      <w:r>
        <w:t xml:space="preserve">Colombia Medellín</w:t>
      </w:r>
      <w:r>
        <w:t xml:space="preserve">, Antioquia.</w:t>
      </w:r>
    </w:p>
    <w:p>
      <w:pPr>
        <w:pStyle w:val="BodyText"/>
      </w:pPr>
      <w:r>
        <w:rPr>
          <w:bCs/>
          <w:b/>
        </w:rPr>
        <w:t xml:space="preserve">3.7 Confidentiality:</w:t>
      </w:r>
      <w:r>
        <w:t xml:space="preserve"> </w:t>
      </w:r>
      <w:r>
        <w:t xml:space="preserve">Both parties agree to maintain strict confidentiality regarding all geological data, site conditions, and commercial terms disclosed during the execution of this engagement in</w:t>
      </w:r>
      <w:r>
        <w:t xml:space="preserve"> </w:t>
      </w:r>
      <w:r>
        <w:t xml:space="preserve">Colombia Medellín</w:t>
      </w:r>
      <w:r>
        <w:t xml:space="preserve">.</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GeoAndes Professional Services S.A.S. to proceed with the geological services described herein, to be performed by the designated</w:t>
      </w:r>
      <w:r>
        <w:t xml:space="preserve"> </w:t>
      </w:r>
      <w:r>
        <w:t xml:space="preserve">Geologist</w:t>
      </w:r>
      <w:r>
        <w:t xml:space="preserve"> </w:t>
      </w:r>
      <w:r>
        <w:t xml:space="preserve">at the project site in</w:t>
      </w:r>
      <w:r>
        <w:t xml:space="preserve"> </w:t>
      </w:r>
      <w:r>
        <w:t xml:space="preserve">Colombia Medellín</w:t>
      </w:r>
      <w:r>
        <w:t xml:space="preserve">.</w:t>
      </w:r>
    </w:p>
    <w:p>
      <w:pPr>
        <w:pStyle w:val="BodyText"/>
      </w:pPr>
      <w:r>
        <w:rPr>
          <w:bCs/>
          <w:b/>
        </w:rPr>
        <w:t xml:space="preserve">GeoAndes Professional Services S.A.S.</w:t>
      </w:r>
      <w:r>
        <w:br/>
      </w:r>
      <w:r>
        <w:t xml:space="preserve">Dr. Alejandro Cárdena – Lead Geologist</w:t>
      </w:r>
      <w:r>
        <w:br/>
      </w:r>
      <w:r>
        <w:t xml:space="preserve">NIT: 901.234.567-8</w:t>
      </w:r>
      <w:r>
        <w:br/>
      </w:r>
      <w:r>
        <w:t xml:space="preserve">Date: _______________</w:t>
      </w:r>
    </w:p>
    <w:p>
      <w:pPr>
        <w:pStyle w:val="BodyText"/>
      </w:pPr>
      <w:r>
        <w:rPr>
          <w:bCs/>
          <w:b/>
        </w:rPr>
        <w:t xml:space="preserve">Constructora Valle del Aburrá S.A.S.</w:t>
      </w:r>
      <w:r>
        <w:br/>
      </w:r>
      <w:r>
        <w:t xml:space="preserve">Ing. María Fernanda Restrepo – Project Director</w:t>
      </w:r>
      <w:r>
        <w:br/>
      </w:r>
      <w:r>
        <w:t xml:space="preserve">NIT: 830.456.789-1</w:t>
      </w:r>
      <w:r>
        <w:br/>
      </w:r>
      <w:r>
        <w:t xml:space="preserve">Date: _______________</w:t>
      </w:r>
    </w:p>
    <w:p>
      <w:pPr>
        <w:pStyle w:val="BodyText"/>
      </w:pPr>
      <w:r>
        <w:t xml:space="preserve">Quotation Estimate No. QE-2025-MDE-0347 | GeoAndes Professional Services S.A.S. | Medellín, Colombia</w:t>
      </w:r>
    </w:p>
    <w:p>
      <w:pPr>
        <w:pStyle w:val="BodyText"/>
      </w:pPr>
      <w:r>
        <w:t xml:space="preserve">This document is a commercial quotation and does not constitute a binding contract until countersigned by both parties.</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Colombia Medellín</dc:title>
  <dc:creator/>
  <dc:language>en</dc:language>
  <cp:keywords/>
  <dcterms:created xsi:type="dcterms:W3CDTF">2026-10-10T04:25:35Z</dcterms:created>
  <dcterms:modified xsi:type="dcterms:W3CDTF">2026-10-10T04:25:35Z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