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Nile Delta Geological Consulting &amp; Survey Services</w:t>
      </w:r>
    </w:p>
    <w:p>
      <w:pPr>
        <w:pStyle w:val="BodyText"/>
      </w:pPr>
      <w:r>
        <w:t xml:space="preserve">127 El Tahrir Street, Downtown District,</w:t>
      </w:r>
      <w:r>
        <w:t xml:space="preserve"> </w:t>
      </w:r>
      <w:r>
        <w:t xml:space="preserve">Egypt Cairo</w:t>
      </w:r>
      <w:r>
        <w:t xml:space="preserve">, 11566</w:t>
      </w:r>
    </w:p>
    <w:p>
      <w:pPr>
        <w:pStyle w:val="BodyText"/>
      </w:pPr>
      <w:r>
        <w:t xml:space="preserve">Tel: +20 2 2574 8890 | Email: info@niledeltageo.com.eg</w:t>
      </w:r>
    </w:p>
    <w:p>
      <w:pPr>
        <w:pStyle w:val="BodyText"/>
      </w:pPr>
      <w:r>
        <w:t xml:space="preserve">Commercial Registration No. 482910 | Tax ID: 552-881-334</w:t>
      </w:r>
    </w:p>
    <w:bookmarkEnd w:id="20"/>
    <w:p>
      <w:pPr>
        <w:pStyle w:val="BodyText"/>
      </w:pPr>
      <w:r>
        <w:rPr>
          <w:bCs/>
          <w:b/>
        </w:rPr>
        <w:t xml:space="preserve">Quotation Estimate No.:</w:t>
      </w:r>
      <w:r>
        <w:t xml:space="preserve"> </w:t>
      </w:r>
      <w:r>
        <w:t xml:space="preserve">QTE-2025-CAI-0347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Egypt Cairo</w:t>
      </w:r>
      <w:r>
        <w:t xml:space="preserve"> </w:t>
      </w:r>
      <w:r>
        <w:t xml:space="preserve">&amp; Surrounding Governorates</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Cairo Metropolitan Development Authority (CMDA)</w:t>
            </w:r>
          </w:p>
        </w:tc>
      </w:tr>
      <w:tr>
        <w:tc>
          <w:tcPr/>
          <w:p>
            <w:pPr>
              <w:pStyle w:val="Compact"/>
              <w:jc w:val="left"/>
            </w:pPr>
            <w:r>
              <w:rPr>
                <w:bCs/>
                <w:b/>
              </w:rPr>
              <w:t xml:space="preserve">Project Reference:</w:t>
            </w:r>
          </w:p>
        </w:tc>
        <w:tc>
          <w:tcPr/>
          <w:p>
            <w:pPr>
              <w:pStyle w:val="Compact"/>
              <w:jc w:val="left"/>
            </w:pPr>
            <w:r>
              <w:t xml:space="preserve">Urban Infrastructure Geological Assessment – Phase III</w:t>
            </w:r>
          </w:p>
        </w:tc>
      </w:tr>
      <w:tr>
        <w:tc>
          <w:tcPr/>
          <w:p>
            <w:pPr>
              <w:pStyle w:val="Compact"/>
              <w:jc w:val="left"/>
            </w:pPr>
            <w:r>
              <w:rPr>
                <w:bCs/>
                <w:b/>
              </w:rPr>
              <w:t xml:space="preserve">Point of Contact:</w:t>
            </w:r>
          </w:p>
        </w:tc>
        <w:tc>
          <w:tcPr/>
          <w:p>
            <w:pPr>
              <w:pStyle w:val="Compact"/>
              <w:jc w:val="left"/>
            </w:pPr>
            <w:r>
              <w:t xml:space="preserve">Eng. Mahmoud El-Sayed, Director of Planning</w:t>
            </w:r>
          </w:p>
        </w:tc>
      </w:tr>
      <w:tr>
        <w:tc>
          <w:tcPr/>
          <w:p>
            <w:pPr>
              <w:pStyle w:val="Compact"/>
              <w:jc w:val="left"/>
            </w:pPr>
            <w:r>
              <w:rPr>
                <w:bCs/>
                <w:b/>
              </w:rPr>
              <w:t xml:space="preserve">Address:</w:t>
            </w:r>
          </w:p>
        </w:tc>
        <w:tc>
          <w:tcPr/>
          <w:p>
            <w:pPr>
              <w:pStyle w:val="Compact"/>
              <w:jc w:val="left"/>
            </w:pPr>
            <w:r>
              <w:t xml:space="preserve">Government Quarter, Nasr City,</w:t>
            </w:r>
            <w:r>
              <w:t xml:space="preserve"> </w:t>
            </w:r>
            <w:r>
              <w:t xml:space="preserve">Egypt Cairo</w:t>
            </w:r>
          </w:p>
        </w:tc>
      </w:tr>
    </w:tbl>
    <w:p>
      <w:pPr>
        <w:pStyle w:val="BodyText"/>
      </w:pPr>
      <w:r>
        <w:t xml:space="preserve">2. Scope of Work – Geologist Services in Egypt Cairo</w:t>
      </w:r>
    </w:p>
    <w:p>
      <w:pPr>
        <w:pStyle w:val="BodyText"/>
      </w:pPr>
      <w:r>
        <w:t xml:space="preserve">This</w:t>
      </w:r>
      <w:r>
        <w:t xml:space="preserve"> </w:t>
      </w:r>
      <w:r>
        <w:t xml:space="preserve">Quotation Estimate</w:t>
      </w:r>
      <w:r>
        <w:t xml:space="preserve"> </w:t>
      </w:r>
      <w:r>
        <w:t xml:space="preserve">is issued by Nile Delta Geological Consulting &amp; Survey Services to provide comprehensive geological survey, analysis, and consulting services delivered by a qualified</w:t>
      </w:r>
      <w:r>
        <w:t xml:space="preserve"> </w:t>
      </w:r>
      <w:r>
        <w:t xml:space="preserve">Geologist</w:t>
      </w:r>
      <w:r>
        <w:t xml:space="preserve"> </w:t>
      </w:r>
      <w:r>
        <w:t xml:space="preserve">and supporting field team. The scope of work covers the designated urban and peri-urban zones within</w:t>
      </w:r>
      <w:r>
        <w:t xml:space="preserve"> </w:t>
      </w:r>
      <w:r>
        <w:t xml:space="preserve">Egypt Cairo</w:t>
      </w:r>
      <w:r>
        <w:t xml:space="preserve">, including the New Administrative Capital corridor, the 6th of October City expansion area, and the southern extension toward the Mokattam Hills. The</w:t>
      </w:r>
      <w:r>
        <w:t xml:space="preserve"> </w:t>
      </w:r>
      <w:r>
        <w:t xml:space="preserve">Geologist</w:t>
      </w:r>
      <w:r>
        <w:t xml:space="preserve"> </w:t>
      </w:r>
      <w:r>
        <w:t xml:space="preserve">assigned to this project holds a Master's degree in Engineering Geology from Cairo University and possesses over fifteen years of field experience in the geological conditions specific to the Nile Delta and the Eastern Desert margins adjacent to</w:t>
      </w:r>
      <w:r>
        <w:t xml:space="preserve"> </w:t>
      </w:r>
      <w:r>
        <w:t xml:space="preserve">Egypt Cairo</w:t>
      </w:r>
      <w:r>
        <w:t xml:space="preserve">.</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(EGP)</w:t>
            </w:r>
          </w:p>
        </w:tc>
        <w:tc>
          <w:tcPr/>
          <w:p>
            <w:pPr>
              <w:pStyle w:val="Compact"/>
              <w:jc w:val="left"/>
            </w:pPr>
            <w:r>
              <w:t xml:space="preserve">Total (EGP)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Site reconnaissance and preliminary geological mapping by senior</w:t>
            </w:r>
            <w:r>
              <w:t xml:space="preserve"> </w:t>
            </w:r>
            <w:r>
              <w:t xml:space="preserve">Geologist</w:t>
            </w:r>
            <w:r>
              <w:t xml:space="preserve"> </w:t>
            </w:r>
            <w:r>
              <w:t xml:space="preserve">across 45 km² in</w:t>
            </w:r>
            <w:r>
              <w:t xml:space="preserve"> </w:t>
            </w:r>
            <w:r>
              <w:t xml:space="preserve">Egypt Cairo</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3 weeks</w:t>
            </w:r>
          </w:p>
        </w:tc>
      </w:tr>
      <w:tr>
        <w:tc>
          <w:tcPr/>
          <w:p>
            <w:pPr>
              <w:pStyle w:val="Compact"/>
              <w:jc w:val="left"/>
            </w:pPr>
            <w:r>
              <w:t xml:space="preserve">2</w:t>
            </w:r>
          </w:p>
        </w:tc>
        <w:tc>
          <w:tcPr/>
          <w:p>
            <w:pPr>
              <w:pStyle w:val="Compact"/>
              <w:jc w:val="left"/>
            </w:pPr>
            <w:r>
              <w:t xml:space="preserve">Borehole drilling supervision (12 boreholes, 30 m depth each) with in-situ geotechnical logging</w:t>
            </w:r>
          </w:p>
        </w:tc>
        <w:tc>
          <w:tcPr/>
          <w:p>
            <w:pPr>
              <w:pStyle w:val="Compact"/>
              <w:jc w:val="left"/>
            </w:pPr>
            <w:r>
              <w:t xml:space="preserve">12 holes</w:t>
            </w:r>
          </w:p>
        </w:tc>
        <w:tc>
          <w:tcPr/>
          <w:p>
            <w:pPr>
              <w:pStyle w:val="Compact"/>
              <w:jc w:val="left"/>
            </w:pPr>
            <w:r>
              <w:t xml:space="preserve">42,500</w:t>
            </w:r>
          </w:p>
        </w:tc>
        <w:tc>
          <w:tcPr/>
          <w:p>
            <w:pPr>
              <w:pStyle w:val="Compact"/>
              <w:jc w:val="left"/>
            </w:pPr>
            <w:r>
              <w:t xml:space="preserve">510,000</w:t>
            </w:r>
          </w:p>
        </w:tc>
        <w:tc>
          <w:tcPr/>
          <w:p>
            <w:pPr>
              <w:pStyle w:val="Compact"/>
              <w:jc w:val="left"/>
            </w:pPr>
            <w:r>
              <w:t xml:space="preserve">6 weeks</w:t>
            </w:r>
          </w:p>
        </w:tc>
      </w:tr>
      <w:tr>
        <w:tc>
          <w:tcPr/>
          <w:p>
            <w:pPr>
              <w:pStyle w:val="Compact"/>
              <w:jc w:val="left"/>
            </w:pPr>
            <w:r>
              <w:t xml:space="preserve">3</w:t>
            </w:r>
          </w:p>
        </w:tc>
        <w:tc>
          <w:tcPr/>
          <w:p>
            <w:pPr>
              <w:pStyle w:val="Compact"/>
              <w:jc w:val="left"/>
            </w:pPr>
            <w:r>
              <w:t xml:space="preserve">Soil and rock sample laboratory analysis (grain size, Atterberg limits, unconfined compressive strength, XRD mineralogy)</w:t>
            </w:r>
          </w:p>
        </w:tc>
        <w:tc>
          <w:tcPr/>
          <w:p>
            <w:pPr>
              <w:pStyle w:val="Compact"/>
              <w:jc w:val="left"/>
            </w:pPr>
            <w:r>
              <w:t xml:space="preserve">180 samples</w:t>
            </w:r>
          </w:p>
        </w:tc>
        <w:tc>
          <w:tcPr/>
          <w:p>
            <w:pPr>
              <w:pStyle w:val="Compact"/>
              <w:jc w:val="left"/>
            </w:pPr>
            <w:r>
              <w:t xml:space="preserve">1,850</w:t>
            </w:r>
          </w:p>
        </w:tc>
        <w:tc>
          <w:tcPr/>
          <w:p>
            <w:pPr>
              <w:pStyle w:val="Compact"/>
              <w:jc w:val="left"/>
            </w:pPr>
            <w:r>
              <w:t xml:space="preserve">333,000</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Geophysical survey – Electrical Resistivity Tomography (ERT) and Seismic Refraction across 18 transects</w:t>
            </w:r>
          </w:p>
        </w:tc>
        <w:tc>
          <w:tcPr/>
          <w:p>
            <w:pPr>
              <w:pStyle w:val="Compact"/>
              <w:jc w:val="left"/>
            </w:pPr>
            <w:r>
              <w:t xml:space="preserve">18 transects</w:t>
            </w:r>
          </w:p>
        </w:tc>
        <w:tc>
          <w:tcPr/>
          <w:p>
            <w:pPr>
              <w:pStyle w:val="Compact"/>
              <w:jc w:val="left"/>
            </w:pPr>
            <w:r>
              <w:t xml:space="preserve">28,000</w:t>
            </w:r>
          </w:p>
        </w:tc>
        <w:tc>
          <w:tcPr/>
          <w:p>
            <w:pPr>
              <w:pStyle w:val="Compact"/>
              <w:jc w:val="left"/>
            </w:pPr>
            <w:r>
              <w:t xml:space="preserve">504,000</w:t>
            </w:r>
          </w:p>
        </w:tc>
        <w:tc>
          <w:tcPr/>
          <w:p>
            <w:pPr>
              <w:pStyle w:val="Compact"/>
              <w:jc w:val="left"/>
            </w:pPr>
            <w:r>
              <w:t xml:space="preserve">5 weeks</w:t>
            </w:r>
          </w:p>
        </w:tc>
      </w:tr>
      <w:tr>
        <w:tc>
          <w:tcPr/>
          <w:p>
            <w:pPr>
              <w:pStyle w:val="Compact"/>
              <w:jc w:val="left"/>
            </w:pPr>
            <w:r>
              <w:t xml:space="preserve">5</w:t>
            </w:r>
          </w:p>
        </w:tc>
        <w:tc>
          <w:tcPr/>
          <w:p>
            <w:pPr>
              <w:pStyle w:val="Compact"/>
              <w:jc w:val="left"/>
            </w:pPr>
            <w:r>
              <w:t xml:space="preserve">Groundwater level monitoring and hydrogeological assessment in the</w:t>
            </w:r>
            <w:r>
              <w:t xml:space="preserve"> </w:t>
            </w:r>
            <w:r>
              <w:t xml:space="preserve">Egypt Cairo</w:t>
            </w:r>
            <w:r>
              <w:t xml:space="preserve"> </w:t>
            </w:r>
            <w:r>
              <w:t xml:space="preserve">aquifer system</w:t>
            </w:r>
          </w:p>
        </w:tc>
        <w:tc>
          <w:tcPr/>
          <w:p>
            <w:pPr>
              <w:pStyle w:val="Compact"/>
              <w:jc w:val="left"/>
            </w:pPr>
            <w:r>
              <w:t xml:space="preserve">1 lot</w:t>
            </w:r>
          </w:p>
        </w:tc>
        <w:tc>
          <w:tcPr/>
          <w:p>
            <w:pPr>
              <w:pStyle w:val="Compact"/>
              <w:jc w:val="left"/>
            </w:pPr>
            <w:r>
              <w:t xml:space="preserve">96,000</w:t>
            </w:r>
          </w:p>
        </w:tc>
        <w:tc>
          <w:tcPr/>
          <w:p>
            <w:pPr>
              <w:pStyle w:val="Compact"/>
              <w:jc w:val="left"/>
            </w:pPr>
            <w:r>
              <w:t xml:space="preserve">96,000</w:t>
            </w:r>
          </w:p>
        </w:tc>
        <w:tc>
          <w:tcPr/>
          <w:p>
            <w:pPr>
              <w:pStyle w:val="Compact"/>
              <w:jc w:val="left"/>
            </w:pPr>
            <w:r>
              <w:t xml:space="preserve">3 weeks</w:t>
            </w:r>
          </w:p>
        </w:tc>
      </w:tr>
      <w:tr>
        <w:tc>
          <w:tcPr/>
          <w:p>
            <w:pPr>
              <w:pStyle w:val="Compact"/>
              <w:jc w:val="left"/>
            </w:pPr>
            <w:r>
              <w:t xml:space="preserve">6</w:t>
            </w:r>
          </w:p>
        </w:tc>
        <w:tc>
          <w:tcPr/>
          <w:p>
            <w:pPr>
              <w:pStyle w:val="Compact"/>
              <w:jc w:val="left"/>
            </w:pPr>
            <w:r>
              <w:t xml:space="preserve">Preparation of final geological report, cross-sections, 3D subsurface model, and risk assessment for construction in</w:t>
            </w:r>
            <w:r>
              <w:t xml:space="preserve"> </w:t>
            </w:r>
            <w:r>
              <w:t xml:space="preserve">Egypt Cairo</w:t>
            </w:r>
          </w:p>
        </w:tc>
        <w:tc>
          <w:tcPr/>
          <w:p>
            <w:pPr>
              <w:pStyle w:val="Compact"/>
              <w:jc w:val="left"/>
            </w:pPr>
            <w:r>
              <w:t xml:space="preserve">1 report</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4 weeks</w:t>
            </w:r>
          </w:p>
        </w:tc>
      </w:tr>
      <w:tr>
        <w:tc>
          <w:tcPr/>
          <w:p>
            <w:pPr>
              <w:pStyle w:val="Compact"/>
              <w:jc w:val="left"/>
            </w:pPr>
            <w:r>
              <w:t xml:space="preserve">7</w:t>
            </w:r>
          </w:p>
        </w:tc>
        <w:tc>
          <w:tcPr/>
          <w:p>
            <w:pPr>
              <w:pStyle w:val="Compact"/>
              <w:jc w:val="left"/>
            </w:pPr>
            <w:r>
              <w:t xml:space="preserve">Two on-site technical review meetings with client representatives and presentation of interim findings</w:t>
            </w:r>
          </w:p>
        </w:tc>
        <w:tc>
          <w:tcPr/>
          <w:p>
            <w:pPr>
              <w:pStyle w:val="Compact"/>
              <w:jc w:val="left"/>
            </w:pPr>
            <w:r>
              <w:t xml:space="preserve">2 meetings</w:t>
            </w:r>
          </w:p>
        </w:tc>
        <w:tc>
          <w:tcPr/>
          <w:p>
            <w:pPr>
              <w:pStyle w:val="Compact"/>
              <w:jc w:val="left"/>
            </w:pPr>
            <w:r>
              <w:t xml:space="preserve">12,000</w:t>
            </w:r>
          </w:p>
        </w:tc>
        <w:tc>
          <w:tcPr/>
          <w:p>
            <w:pPr>
              <w:pStyle w:val="Compact"/>
              <w:jc w:val="left"/>
            </w:pPr>
            <w:r>
              <w:t xml:space="preserve">24,000</w:t>
            </w:r>
          </w:p>
        </w:tc>
        <w:tc>
          <w:tcPr/>
          <w:p>
            <w:pPr>
              <w:pStyle w:val="Compact"/>
              <w:jc w:val="left"/>
            </w:pPr>
            <w:r>
              <w:t xml:space="preserve">As scheduled</w:t>
            </w:r>
          </w:p>
        </w:tc>
      </w:tr>
      <w:tr>
        <w:tc>
          <w:tcPr/>
          <w:p>
            <w:pPr>
              <w:pStyle w:val="Compact"/>
              <w:jc w:val="left"/>
            </w:pPr>
            <w:r>
              <w:t xml:space="preserve">8</w:t>
            </w:r>
          </w:p>
        </w:tc>
        <w:tc>
          <w:tcPr/>
          <w:p>
            <w:pPr>
              <w:pStyle w:val="Compact"/>
              <w:jc w:val="left"/>
            </w:pPr>
            <w:r>
              <w:t xml:space="preserve">Project management, field logistics, transportation within</w:t>
            </w:r>
            <w:r>
              <w:t xml:space="preserve"> </w:t>
            </w:r>
            <w:r>
              <w:t xml:space="preserve">Egypt Cairo</w:t>
            </w:r>
            <w:r>
              <w:t xml:space="preserve">, and administrative overhead</w:t>
            </w:r>
          </w:p>
        </w:tc>
        <w:tc>
          <w:tcPr/>
          <w:p>
            <w:pPr>
              <w:pStyle w:val="Compact"/>
              <w:jc w:val="left"/>
            </w:pPr>
            <w:r>
              <w:t xml:space="preserve">1 lot</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Full duration</w:t>
            </w:r>
          </w:p>
        </w:tc>
      </w:tr>
      <w:tr>
        <w:tc>
          <w:tcPr>
            <w:gridSpan w:val="4"/>
          </w:tcPr>
          <w:p>
            <w:pPr>
              <w:pStyle w:val="Compact"/>
              <w:jc w:val="left"/>
            </w:pPr>
            <w:r>
              <w:rPr>
                <w:bCs/>
                <w:b/>
              </w:rPr>
              <w:t xml:space="preserve">Subtotal (EGP)</w:t>
            </w:r>
          </w:p>
        </w:tc>
        <w:tc>
          <w:tcPr/>
          <w:p>
            <w:pPr>
              <w:pStyle w:val="Compact"/>
              <w:jc w:val="left"/>
            </w:pPr>
            <w:r>
              <w:rPr>
                <w:bCs/>
                <w:b/>
              </w:rPr>
              <w:t xml:space="preserve">1,875,000</w:t>
            </w:r>
          </w:p>
        </w:tc>
        <w:tc>
          <w:tcPr/>
          <w:p>
            <w:pPr>
              <w:pStyle w:val="Compact"/>
            </w:pPr>
          </w:p>
        </w:tc>
      </w:tr>
      <w:tr>
        <w:tc>
          <w:tcPr>
            <w:gridSpan w:val="4"/>
          </w:tcPr>
          <w:p>
            <w:pPr>
              <w:pStyle w:val="Compact"/>
              <w:jc w:val="left"/>
            </w:pPr>
            <w:r>
              <w:rPr>
                <w:bCs/>
                <w:b/>
              </w:rPr>
              <w:t xml:space="preserve">VAT (14% – Egyptian Tax Authority)</w:t>
            </w:r>
          </w:p>
        </w:tc>
        <w:tc>
          <w:tcPr/>
          <w:p>
            <w:pPr>
              <w:pStyle w:val="Compact"/>
              <w:jc w:val="left"/>
            </w:pPr>
            <w:r>
              <w:rPr>
                <w:bCs/>
                <w:b/>
              </w:rPr>
              <w:t xml:space="preserve">262,500</w:t>
            </w:r>
          </w:p>
        </w:tc>
        <w:tc>
          <w:tcPr/>
          <w:p>
            <w:pPr>
              <w:pStyle w:val="Compact"/>
            </w:pPr>
          </w:p>
        </w:tc>
      </w:tr>
      <w:tr>
        <w:tc>
          <w:tcPr>
            <w:gridSpan w:val="4"/>
          </w:tcPr>
          <w:p>
            <w:pPr>
              <w:pStyle w:val="Compact"/>
              <w:jc w:val="left"/>
            </w:pPr>
            <w:r>
              <w:rPr>
                <w:bCs/>
                <w:b/>
              </w:rPr>
              <w:t xml:space="preserve">GRAND TOTAL (EGP)</w:t>
            </w:r>
          </w:p>
        </w:tc>
        <w:tc>
          <w:tcPr/>
          <w:p>
            <w:pPr>
              <w:pStyle w:val="Compact"/>
              <w:jc w:val="left"/>
            </w:pPr>
            <w:r>
              <w:rPr>
                <w:bCs/>
                <w:b/>
              </w:rPr>
              <w:t xml:space="preserve">2,137,500</w:t>
            </w:r>
          </w:p>
        </w:tc>
        <w:tc>
          <w:tcPr/>
          <w:p>
            <w:pPr>
              <w:pStyle w:val="Compact"/>
            </w:pP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quoted in Egyptian Pounds (EGP) and are inclusive of all field equipment, consumables, and standard laboratory fees. Any additional boreholes, extended sampling, or scope changes beyond the quantities listed above will be subject to a supplementary</w:t>
      </w:r>
      <w:r>
        <w:t xml:space="preserve"> </w:t>
      </w:r>
      <w:r>
        <w:t xml:space="preserve">Quotation Estimate</w:t>
      </w:r>
      <w:r>
        <w:t xml:space="preserve"> </w:t>
      </w:r>
      <w:r>
        <w:t xml:space="preserve">issued by the</w:t>
      </w:r>
      <w:r>
        <w:t xml:space="preserve"> </w:t>
      </w:r>
      <w:r>
        <w:t xml:space="preserve">Geologist</w:t>
      </w:r>
      <w:r>
        <w:t xml:space="preserve"> </w:t>
      </w:r>
      <w:r>
        <w:t xml:space="preserve">project lead prior to commencement of the additional work.</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Upon expiry, pricing may be revised to reflect current market rates for geological fieldwork in</w:t>
      </w:r>
      <w:r>
        <w:t xml:space="preserve"> </w:t>
      </w:r>
      <w:r>
        <w:t xml:space="preserve">Egypt Cairo</w:t>
      </w:r>
      <w:r>
        <w:t xml:space="preserve">.</w:t>
      </w:r>
    </w:p>
    <w:p>
      <w:pPr>
        <w:numPr>
          <w:ilvl w:val="0"/>
          <w:numId w:val="1001"/>
        </w:numPr>
        <w:pStyle w:val="Compact"/>
      </w:pPr>
      <w:r>
        <w:rPr>
          <w:bCs/>
          <w:b/>
        </w:rPr>
        <w:t xml:space="preserve">Payment Schedule:</w:t>
      </w:r>
      <w:r>
        <w:t xml:space="preserve"> </w:t>
      </w:r>
      <w:r>
        <w:t xml:space="preserve">30% advance payment upon contract signing; 40% upon completion of fieldwork (boreholes and geophysical surveys); 30% upon delivery and acceptance of the final geological report.</w:t>
      </w:r>
    </w:p>
    <w:p>
      <w:pPr>
        <w:numPr>
          <w:ilvl w:val="0"/>
          <w:numId w:val="1001"/>
        </w:numPr>
        <w:pStyle w:val="Compact"/>
      </w:pPr>
      <w:r>
        <w:rPr>
          <w:bCs/>
          <w:b/>
        </w:rPr>
        <w:t xml:space="preserve">Payment Method:</w:t>
      </w:r>
      <w:r>
        <w:t xml:space="preserve"> </w:t>
      </w:r>
      <w:r>
        <w:t xml:space="preserve">Bank transfer to Nile Delta Geological Consulting &amp; Survey Services, National Bank of Egypt, Cairo Main Branch, Account No. 004-882-115-773.</w:t>
      </w:r>
    </w:p>
    <w:p>
      <w:pPr>
        <w:numPr>
          <w:ilvl w:val="0"/>
          <w:numId w:val="1001"/>
        </w:numPr>
        <w:pStyle w:val="Compact"/>
      </w:pPr>
      <w:r>
        <w:rPr>
          <w:bCs/>
          <w:b/>
        </w:rPr>
        <w:t xml:space="preserve">Commencement:</w:t>
      </w:r>
      <w:r>
        <w:t xml:space="preserve"> </w:t>
      </w:r>
      <w:r>
        <w:t xml:space="preserve">Fieldwork shall commence within ten (10) working days of receipt of the advance payment and written client authorization.</w:t>
      </w:r>
    </w:p>
    <w:p>
      <w:pPr>
        <w:numPr>
          <w:ilvl w:val="0"/>
          <w:numId w:val="1001"/>
        </w:numPr>
        <w:pStyle w:val="Compact"/>
      </w:pPr>
      <w:r>
        <w:rPr>
          <w:bCs/>
          <w:b/>
        </w:rPr>
        <w:t xml:space="preserve">Deliverables:</w:t>
      </w:r>
      <w:r>
        <w:t xml:space="preserve"> </w:t>
      </w:r>
      <w:r>
        <w:t xml:space="preserve">The</w:t>
      </w:r>
      <w:r>
        <w:t xml:space="preserve"> </w:t>
      </w:r>
      <w:r>
        <w:t xml:space="preserve">Geologist</w:t>
      </w:r>
      <w:r>
        <w:t xml:space="preserve"> </w:t>
      </w:r>
      <w:r>
        <w:t xml:space="preserve">shall deliver all reports in both hard copy (3 sets) and digital format (PDF and editable GIS shapefiles) within fourteen (14) days of fieldwork completion.</w:t>
      </w:r>
    </w:p>
    <w:p>
      <w:pPr>
        <w:numPr>
          <w:ilvl w:val="0"/>
          <w:numId w:val="1001"/>
        </w:numPr>
        <w:pStyle w:val="Compact"/>
      </w:pPr>
      <w:r>
        <w:rPr>
          <w:bCs/>
          <w:b/>
        </w:rPr>
        <w:t xml:space="preserve">Compliance:</w:t>
      </w:r>
      <w:r>
        <w:t xml:space="preserve"> </w:t>
      </w:r>
      <w:r>
        <w:t xml:space="preserve">All geological survey activities in</w:t>
      </w:r>
      <w:r>
        <w:t xml:space="preserve"> </w:t>
      </w:r>
      <w:r>
        <w:t xml:space="preserve">Egypt Cairo</w:t>
      </w:r>
      <w:r>
        <w:t xml:space="preserve"> </w:t>
      </w:r>
      <w:r>
        <w:t xml:space="preserve">shall comply with the Egyptian Environmental Affairs Agency (EEAA) regulations, the Ministry of Water Resources and Irrigation permits, and local municipal bylaws.</w:t>
      </w:r>
    </w:p>
    <w:p>
      <w:pPr>
        <w:numPr>
          <w:ilvl w:val="0"/>
          <w:numId w:val="1001"/>
        </w:numPr>
        <w:pStyle w:val="Compact"/>
      </w:pPr>
      <w:r>
        <w:rPr>
          <w:bCs/>
          <w:b/>
        </w:rPr>
        <w:t xml:space="preserve">Insurance:</w:t>
      </w:r>
      <w:r>
        <w:t xml:space="preserve"> </w:t>
      </w:r>
      <w:r>
        <w:t xml:space="preserve">The contractor maintains professional indemnity insurance and third-party liability coverage for all</w:t>
      </w:r>
      <w:r>
        <w:t xml:space="preserve"> </w:t>
      </w:r>
      <w:r>
        <w:t xml:space="preserve">Geologist</w:t>
      </w:r>
      <w:r>
        <w:t xml:space="preserve"> </w:t>
      </w:r>
      <w:r>
        <w:t xml:space="preserve">and field personnel operating in</w:t>
      </w:r>
      <w:r>
        <w:t xml:space="preserve"> </w:t>
      </w:r>
      <w:r>
        <w:t xml:space="preserve">Egypt Cairo</w:t>
      </w:r>
      <w:r>
        <w:t xml:space="preserve">.</w:t>
      </w:r>
    </w:p>
    <w:p>
      <w:pPr>
        <w:numPr>
          <w:ilvl w:val="0"/>
          <w:numId w:val="1001"/>
        </w:numPr>
        <w:pStyle w:val="Compact"/>
      </w:pPr>
      <w:r>
        <w:rPr>
          <w:bCs/>
          <w:b/>
        </w:rPr>
        <w:t xml:space="preserve">Confidentiality:</w:t>
      </w:r>
      <w:r>
        <w:t xml:space="preserve"> </w:t>
      </w:r>
      <w:r>
        <w:t xml:space="preserve">All subsurface data, borehole logs, and geophysical results remain the exclusive property of the client. The</w:t>
      </w:r>
      <w:r>
        <w:t xml:space="preserve"> </w:t>
      </w:r>
      <w:r>
        <w:t xml:space="preserve">Geologist</w:t>
      </w:r>
      <w:r>
        <w:t xml:space="preserve"> </w:t>
      </w:r>
      <w:r>
        <w:t xml:space="preserve">and consulting firm shall not disclose project-specific geological information without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extreme weather, government-mandated site closures, or civil unrest in the</w:t>
      </w:r>
      <w:r>
        <w:t xml:space="preserve"> </w:t>
      </w:r>
      <w:r>
        <w:t xml:space="preserve">Egypt Cairo</w:t>
      </w:r>
      <w:r>
        <w:t xml:space="preserve"> </w:t>
      </w:r>
      <w:r>
        <w:t xml:space="preserve">metropolitan area.</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Arab Republic of Egypt. Disputes shall be resolved through the competent courts in</w:t>
      </w:r>
      <w:r>
        <w:t xml:space="preserve"> </w:t>
      </w:r>
      <w:r>
        <w:t xml:space="preserve">Egypt Cairo</w:t>
      </w:r>
      <w:r>
        <w:t xml:space="preserve">.</w:t>
      </w:r>
    </w:p>
    <w:p>
      <w:pPr>
        <w:pStyle w:val="FirstParagraph"/>
      </w:pPr>
      <w:r>
        <w:t xml:space="preserve">5. Acceptance and Authorization</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 geological services to be performed by the designated</w:t>
      </w:r>
      <w:r>
        <w:t xml:space="preserve"> </w:t>
      </w:r>
      <w:r>
        <w:t xml:space="preserve">Geologist</w:t>
      </w:r>
      <w:r>
        <w:t xml:space="preserve"> </w:t>
      </w:r>
      <w:r>
        <w:t xml:space="preserve">and team in</w:t>
      </w:r>
      <w:r>
        <w:t xml:space="preserve"> </w:t>
      </w:r>
      <w:r>
        <w:t xml:space="preserve">Egypt Cairo</w:t>
      </w:r>
      <w:r>
        <w:t xml:space="preserve">.</w:t>
      </w:r>
    </w:p>
    <w:p>
      <w:pPr>
        <w:pStyle w:val="BodyText"/>
      </w:pPr>
      <w:r>
        <w:rPr>
          <w:bCs/>
          <w:b/>
        </w:rPr>
        <w:t xml:space="preserve">For Nile Delta Geological Consulting &amp; Survey Services</w:t>
      </w:r>
      <w:r>
        <w:br/>
      </w:r>
      <w:r>
        <w:t xml:space="preserve">Dr. Hanaa El-Araby, Lead</w:t>
      </w:r>
      <w:r>
        <w:t xml:space="preserve"> </w:t>
      </w:r>
      <w:r>
        <w:t xml:space="preserve">Geologist</w:t>
      </w:r>
      <w:r>
        <w:t xml:space="preserve"> </w:t>
      </w:r>
      <w:r>
        <w:t xml:space="preserve">&amp; Project Director</w:t>
      </w:r>
      <w:r>
        <w:br/>
      </w:r>
      <w:r>
        <w:t xml:space="preserve">Signature &amp; Company Stamp</w:t>
      </w:r>
    </w:p>
    <w:p>
      <w:pPr>
        <w:pStyle w:val="BodyText"/>
      </w:pPr>
      <w:r>
        <w:rPr>
          <w:bCs/>
          <w:b/>
        </w:rPr>
        <w:t xml:space="preserve">For Cairo Metropolitan Development Authority</w:t>
      </w:r>
      <w:r>
        <w:br/>
      </w:r>
      <w:r>
        <w:t xml:space="preserve">Eng. Mahmoud El-Sayed, Director of Planning</w:t>
      </w:r>
      <w:r>
        <w:br/>
      </w:r>
      <w:r>
        <w:t xml:space="preserve">Signature &amp; Authority Stamp</w:t>
      </w:r>
    </w:p>
    <w:p>
      <w:pPr>
        <w:pStyle w:val="BodyText"/>
      </w:pPr>
      <w:r>
        <w:t xml:space="preserve">This</w:t>
      </w:r>
      <w:r>
        <w:t xml:space="preserve"> </w:t>
      </w:r>
      <w:r>
        <w:t xml:space="preserve">Quotation Estimate</w:t>
      </w:r>
      <w:r>
        <w:t xml:space="preserve"> </w:t>
      </w:r>
      <w:r>
        <w:t xml:space="preserve">(Ref: QTE-2025-CAI-0347) was prepared by Nile Delta Geological Consulting &amp; Survey Services,</w:t>
      </w:r>
      <w:r>
        <w:t xml:space="preserve"> </w:t>
      </w:r>
      <w:r>
        <w:t xml:space="preserve">Egypt Cairo</w:t>
      </w:r>
      <w:r>
        <w:t xml:space="preserve">.</w:t>
      </w:r>
      <w:r>
        <w:br/>
      </w:r>
      <w:r>
        <w:t xml:space="preserve">Page 1 of 1 | Generated: 14 June 2025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Egypt Cairo</dc:title>
  <dc:creator/>
  <dc:language>en</dc:language>
  <cp:keywords/>
  <dcterms:created xsi:type="dcterms:W3CDTF">2026-10-10T04:01:58Z</dcterms:created>
  <dcterms:modified xsi:type="dcterms:W3CDTF">2026-10-10T04:01:58Z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