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geoberlin-consulting-gmbh"/>
    <w:p>
      <w:pPr>
        <w:pStyle w:val="Heading1"/>
      </w:pPr>
      <w:r>
        <w:t xml:space="preserve">GeoBerlin Consulting GmbH</w:t>
      </w:r>
    </w:p>
    <w:p>
      <w:pPr>
        <w:pStyle w:val="FirstParagraph"/>
      </w:pPr>
      <w:r>
        <w:t xml:space="preserve">Unter den Linden 45, 10117 Berlin, Germany</w:t>
      </w:r>
    </w:p>
    <w:p>
      <w:pPr>
        <w:pStyle w:val="BodyText"/>
      </w:pPr>
      <w:r>
        <w:t xml:space="preserve">Phone: +49 30 1234 5678 | Email: info@geoberlin-consulting.de</w:t>
      </w:r>
    </w:p>
    <w:p>
      <w:pPr>
        <w:pStyle w:val="BodyText"/>
      </w:pPr>
      <w:r>
        <w:t xml:space="preserve">USt-IdNr: DE123456789 | HRB 123456 B, Amtsgericht Berlin</w:t>
      </w:r>
    </w:p>
    <w:bookmarkEnd w:id="20"/>
    <w:bookmarkStart w:id="21" w:name="quotation-estimate"/>
    <w:p>
      <w:pPr>
        <w:pStyle w:val="Heading2"/>
      </w:pPr>
      <w:r>
        <w:t xml:space="preserve">QUOTATION ESTIMATE</w:t>
      </w:r>
    </w:p>
    <w:p>
      <w:pPr>
        <w:pStyle w:val="FirstParagraph"/>
      </w:pPr>
      <w:r>
        <w:t xml:space="preserve">Ref. No: QTE-2025-BER-0047</w:t>
      </w:r>
    </w:p>
    <w:p>
      <w:pPr>
        <w:pStyle w:val="BodyText"/>
      </w:pPr>
      <w:r>
        <w:t xml:space="preserve">Date: 14 June 2025</w:t>
      </w:r>
    </w:p>
    <w:p>
      <w:pPr>
        <w:pStyle w:val="BodyText"/>
      </w:pPr>
      <w:r>
        <w:t xml:space="preserve">Valid Until: 14 July 2025</w:t>
      </w:r>
    </w:p>
    <w:bookmarkEnd w:id="21"/>
    <w:bookmarkStart w:id="22" w:name="prepared-for-client"/>
    <w:p>
      <w:pPr>
        <w:pStyle w:val="Heading3"/>
      </w:pPr>
      <w:r>
        <w:t xml:space="preserve">Prepared For (Client)</w:t>
      </w:r>
    </w:p>
    <w:p>
      <w:pPr>
        <w:pStyle w:val="FirstParagraph"/>
      </w:pPr>
      <w:r>
        <w:rPr>
          <w:bCs/>
          <w:b/>
        </w:rPr>
        <w:t xml:space="preserve">Berlin Stadtentwicklung AG</w:t>
      </w:r>
    </w:p>
    <w:p>
      <w:pPr>
        <w:pStyle w:val="BodyText"/>
      </w:pPr>
      <w:r>
        <w:t xml:space="preserve">Frankfurter Allee 120, 10247 Berlin, Germany</w:t>
      </w:r>
    </w:p>
    <w:p>
      <w:pPr>
        <w:pStyle w:val="BodyText"/>
      </w:pPr>
      <w:r>
        <w:t xml:space="preserve">Attn: Dr. Markus Weber, Head of Urban Planning</w:t>
      </w:r>
    </w:p>
    <w:p>
      <w:pPr>
        <w:pStyle w:val="BodyText"/>
      </w:pPr>
      <w:r>
        <w:t xml:space="preserve">Contact: m.weber@berlin-stadtentwicklung.de</w:t>
      </w:r>
    </w:p>
    <w:bookmarkEnd w:id="22"/>
    <w:bookmarkStart w:id="23" w:name="prepared-by-service-provider"/>
    <w:p>
      <w:pPr>
        <w:pStyle w:val="Heading3"/>
      </w:pPr>
      <w:r>
        <w:t xml:space="preserve">Prepared By (Service Provider)</w:t>
      </w:r>
    </w:p>
    <w:p>
      <w:pPr>
        <w:pStyle w:val="FirstParagraph"/>
      </w:pPr>
      <w:r>
        <w:rPr>
          <w:bCs/>
          <w:b/>
        </w:rPr>
        <w:t xml:space="preserve">Dr. Anna Richter, PhD Geology</w:t>
      </w:r>
    </w:p>
    <w:p>
      <w:pPr>
        <w:pStyle w:val="BodyText"/>
      </w:pPr>
      <w:r>
        <w:t xml:space="preserve">Lead Geologist, GeoBerlin Consulting GmbH</w:t>
      </w:r>
    </w:p>
    <w:p>
      <w:pPr>
        <w:pStyle w:val="BodyText"/>
      </w:pPr>
      <w:r>
        <w:t xml:space="preserve">Licensed Geologist – Bundesanstalt für Geowissenschaften</w:t>
      </w:r>
    </w:p>
    <w:p>
      <w:pPr>
        <w:pStyle w:val="BodyText"/>
      </w:pPr>
      <w:r>
        <w:t xml:space="preserve">Contact: a.richter@geoberlin-consulting.de</w:t>
      </w:r>
    </w:p>
    <w:bookmarkEnd w:id="23"/>
    <w:p>
      <w:pPr>
        <w:pStyle w:val="BodyText"/>
      </w:pPr>
      <w:r>
        <w:t xml:space="preserve">1. Project Description and Scope of Work</w:t>
      </w:r>
    </w:p>
    <w:p>
      <w:pPr>
        <w:pStyle w:val="BodyText"/>
      </w:pPr>
      <w:r>
        <w:t xml:space="preserve">This</w:t>
      </w:r>
      <w:r>
        <w:t xml:space="preserve"> </w:t>
      </w:r>
      <w:r>
        <w:t xml:space="preserve">Quotation Estimate</w:t>
      </w:r>
      <w:r>
        <w:t xml:space="preserve"> </w:t>
      </w:r>
      <w:r>
        <w:t xml:space="preserve">is issued by GeoBerlin Consulting GmbH in response to the formal request from Berlin Stadtentwicklung AG for comprehensive geological survey and assessment services. The project is located in the district of Mitte,</w:t>
      </w:r>
      <w:r>
        <w:t xml:space="preserve"> </w:t>
      </w:r>
      <w:r>
        <w:t xml:space="preserve">Germany Berlin</w:t>
      </w:r>
      <w:r>
        <w:t xml:space="preserve">, specifically covering an area of approximately 12 hectares designated for a new mixed-use urban development. The</w:t>
      </w:r>
      <w:r>
        <w:t xml:space="preserve"> </w:t>
      </w:r>
      <w:r>
        <w:t xml:space="preserve">Geologist</w:t>
      </w:r>
      <w:r>
        <w:t xml:space="preserve"> </w:t>
      </w:r>
      <w:r>
        <w:t xml:space="preserve">assigned to this engagement will conduct a full subsurface investigation, geological mapping, and risk assessment in accordance with German federal and state regulations, including the Bundesberggesetz (BBergG) and the Berliner Bauordnung (BBO).</w:t>
      </w:r>
    </w:p>
    <w:p>
      <w:pPr>
        <w:pStyle w:val="BodyText"/>
      </w:pPr>
      <w:r>
        <w:t xml:space="preserve">The scope of work encompasses the following deliverables: detailed geological site characterization, borehole drilling and core sampling (minimum 8 boreholes at 30-meter depth), geotechnical laboratory analysis, groundwater contamination screening, seismic microzonation mapping, and a final geological report compliant with DIN 4018 and DIN 4019 standards. All fieldwork will be conducted within the boundaries of</w:t>
      </w:r>
      <w:r>
        <w:t xml:space="preserve"> </w:t>
      </w:r>
      <w:r>
        <w:t xml:space="preserve">Germany Berlin</w:t>
      </w:r>
      <w:r>
        <w:t xml:space="preserve"> </w:t>
      </w:r>
      <w:r>
        <w:t xml:space="preserve">under the supervision of the licensed</w:t>
      </w:r>
      <w:r>
        <w:t xml:space="preserve"> </w:t>
      </w:r>
      <w:r>
        <w:t xml:space="preserve">Geologist</w:t>
      </w:r>
      <w:r>
        <w:t xml:space="preserve"> </w:t>
      </w:r>
      <w:r>
        <w:t xml:space="preserve">and in coordination with the Berliner Senatsverwaltung für Stadtentwicklung.</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geological reconnaissance and desktop study of the</w:t>
            </w:r>
            <w:r>
              <w:t xml:space="preserve"> </w:t>
            </w:r>
            <w:r>
              <w:t xml:space="preserve">Germany Berlin</w:t>
            </w:r>
            <w:r>
              <w:t xml:space="preserve"> </w:t>
            </w:r>
            <w:r>
              <w:t xml:space="preserve">site, including review of BGR geological maps and historical borehole data</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Week 1</w:t>
            </w:r>
          </w:p>
        </w:tc>
      </w:tr>
      <w:tr>
        <w:tc>
          <w:tcPr/>
          <w:p>
            <w:pPr>
              <w:pStyle w:val="Compact"/>
              <w:jc w:val="left"/>
            </w:pPr>
            <w:r>
              <w:t xml:space="preserve">2</w:t>
            </w:r>
          </w:p>
        </w:tc>
        <w:tc>
          <w:tcPr/>
          <w:p>
            <w:pPr>
              <w:pStyle w:val="Compact"/>
              <w:jc w:val="left"/>
            </w:pPr>
            <w:r>
              <w:t xml:space="preserve">Field geological mapping and outcrop documentation by licensed</w:t>
            </w:r>
            <w:r>
              <w:t xml:space="preserve"> </w:t>
            </w:r>
            <w:r>
              <w:t xml:space="preserve">Geologist</w:t>
            </w:r>
            <w:r>
              <w:t xml:space="preserve"> </w:t>
            </w:r>
            <w:r>
              <w:t xml:space="preserve">(Dr. A. Richter) and two field assistants</w:t>
            </w:r>
          </w:p>
        </w:tc>
        <w:tc>
          <w:tcPr/>
          <w:p>
            <w:pPr>
              <w:pStyle w:val="Compact"/>
              <w:jc w:val="left"/>
            </w:pPr>
            <w:r>
              <w:t xml:space="preserve">12 days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Weeks 2–3</w:t>
            </w:r>
          </w:p>
        </w:tc>
      </w:tr>
      <w:tr>
        <w:tc>
          <w:tcPr/>
          <w:p>
            <w:pPr>
              <w:pStyle w:val="Compact"/>
              <w:jc w:val="left"/>
            </w:pPr>
            <w:r>
              <w:t xml:space="preserve">3</w:t>
            </w:r>
          </w:p>
        </w:tc>
        <w:tc>
          <w:tcPr/>
          <w:p>
            <w:pPr>
              <w:pStyle w:val="Compact"/>
              <w:jc w:val="left"/>
            </w:pPr>
            <w:r>
              <w:t xml:space="preserve">Borehole drilling (rotary method), depth 30 m, including casing, core recovery, and in-situ SPT testing</w:t>
            </w:r>
          </w:p>
        </w:tc>
        <w:tc>
          <w:tcPr/>
          <w:p>
            <w:pPr>
              <w:pStyle w:val="Compact"/>
              <w:jc w:val="left"/>
            </w:pPr>
            <w:r>
              <w:t xml:space="preserve">8 holes</w:t>
            </w:r>
          </w:p>
        </w:tc>
        <w:tc>
          <w:tcPr/>
          <w:p>
            <w:pPr>
              <w:pStyle w:val="Compact"/>
              <w:jc w:val="left"/>
            </w:pPr>
            <w:r>
              <w:t xml:space="preserve">6,800.00</w:t>
            </w:r>
          </w:p>
        </w:tc>
        <w:tc>
          <w:tcPr/>
          <w:p>
            <w:pPr>
              <w:pStyle w:val="Compact"/>
              <w:jc w:val="left"/>
            </w:pPr>
            <w:r>
              <w:t xml:space="preserve">54,400.00</w:t>
            </w:r>
          </w:p>
        </w:tc>
        <w:tc>
          <w:tcPr/>
          <w:p>
            <w:pPr>
              <w:pStyle w:val="Compact"/>
              <w:jc w:val="left"/>
            </w:pPr>
            <w:r>
              <w:t xml:space="preserve">Weeks 3–5</w:t>
            </w:r>
          </w:p>
        </w:tc>
      </w:tr>
      <w:tr>
        <w:tc>
          <w:tcPr/>
          <w:p>
            <w:pPr>
              <w:pStyle w:val="Compact"/>
              <w:jc w:val="left"/>
            </w:pPr>
            <w:r>
              <w:t xml:space="preserve">4</w:t>
            </w:r>
          </w:p>
        </w:tc>
        <w:tc>
          <w:tcPr/>
          <w:p>
            <w:pPr>
              <w:pStyle w:val="Compact"/>
              <w:jc w:val="left"/>
            </w:pPr>
            <w:r>
              <w:t xml:space="preserve">Geotechnical laboratory analysis: grain size distribution, Atterberg limits, unconfined compressive strength, and XRF mineralogical analysis</w:t>
            </w:r>
          </w:p>
        </w:tc>
        <w:tc>
          <w:tcPr/>
          <w:p>
            <w:pPr>
              <w:pStyle w:val="Compact"/>
              <w:jc w:val="left"/>
            </w:pPr>
            <w:r>
              <w:t xml:space="preserve">96 samples</w:t>
            </w:r>
          </w:p>
        </w:tc>
        <w:tc>
          <w:tcPr/>
          <w:p>
            <w:pPr>
              <w:pStyle w:val="Compact"/>
              <w:jc w:val="left"/>
            </w:pPr>
            <w:r>
              <w:t xml:space="preserve">320.00</w:t>
            </w:r>
          </w:p>
        </w:tc>
        <w:tc>
          <w:tcPr/>
          <w:p>
            <w:pPr>
              <w:pStyle w:val="Compact"/>
              <w:jc w:val="left"/>
            </w:pPr>
            <w:r>
              <w:t xml:space="preserve">30,720.00</w:t>
            </w:r>
          </w:p>
        </w:tc>
        <w:tc>
          <w:tcPr/>
          <w:p>
            <w:pPr>
              <w:pStyle w:val="Compact"/>
              <w:jc w:val="left"/>
            </w:pPr>
            <w:r>
              <w:t xml:space="preserve">Weeks 5–7</w:t>
            </w:r>
          </w:p>
        </w:tc>
      </w:tr>
      <w:tr>
        <w:tc>
          <w:tcPr/>
          <w:p>
            <w:pPr>
              <w:pStyle w:val="Compact"/>
              <w:jc w:val="left"/>
            </w:pPr>
            <w:r>
              <w:t xml:space="preserve">5</w:t>
            </w:r>
          </w:p>
        </w:tc>
        <w:tc>
          <w:tcPr/>
          <w:p>
            <w:pPr>
              <w:pStyle w:val="Compact"/>
              <w:jc w:val="left"/>
            </w:pPr>
            <w:r>
              <w:t xml:space="preserve">Groundwater sampling and hydrochemical analysis (heavy metals, hydrocarbons, nitrates) per DIN 38402</w:t>
            </w:r>
          </w:p>
        </w:tc>
        <w:tc>
          <w:tcPr/>
          <w:p>
            <w:pPr>
              <w:pStyle w:val="Compact"/>
              <w:jc w:val="left"/>
            </w:pPr>
            <w:r>
              <w:t xml:space="preserve">24 samples</w:t>
            </w:r>
          </w:p>
        </w:tc>
        <w:tc>
          <w:tcPr/>
          <w:p>
            <w:pPr>
              <w:pStyle w:val="Compact"/>
              <w:jc w:val="left"/>
            </w:pPr>
            <w:r>
              <w:t xml:space="preserve">480.00</w:t>
            </w:r>
          </w:p>
        </w:tc>
        <w:tc>
          <w:tcPr/>
          <w:p>
            <w:pPr>
              <w:pStyle w:val="Compact"/>
              <w:jc w:val="left"/>
            </w:pPr>
            <w:r>
              <w:t xml:space="preserve">11,520.00</w:t>
            </w:r>
          </w:p>
        </w:tc>
        <w:tc>
          <w:tcPr/>
          <w:p>
            <w:pPr>
              <w:pStyle w:val="Compact"/>
              <w:jc w:val="left"/>
            </w:pPr>
            <w:r>
              <w:t xml:space="preserve">Weeks 5–6</w:t>
            </w:r>
          </w:p>
        </w:tc>
      </w:tr>
      <w:tr>
        <w:tc>
          <w:tcPr/>
          <w:p>
            <w:pPr>
              <w:pStyle w:val="Compact"/>
              <w:jc w:val="left"/>
            </w:pPr>
            <w:r>
              <w:t xml:space="preserve">6</w:t>
            </w:r>
          </w:p>
        </w:tc>
        <w:tc>
          <w:tcPr/>
          <w:p>
            <w:pPr>
              <w:pStyle w:val="Compact"/>
              <w:jc w:val="left"/>
            </w:pPr>
            <w:r>
              <w:t xml:space="preserve">Seismic microzonation survey and geophysical resistivity tomography (ERT) across the 12-hectare site</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Weeks 6–7</w:t>
            </w:r>
          </w:p>
        </w:tc>
      </w:tr>
      <w:tr>
        <w:tc>
          <w:tcPr/>
          <w:p>
            <w:pPr>
              <w:pStyle w:val="Compact"/>
              <w:jc w:val="left"/>
            </w:pPr>
            <w:r>
              <w:t xml:space="preserve">7</w:t>
            </w:r>
          </w:p>
        </w:tc>
        <w:tc>
          <w:tcPr/>
          <w:p>
            <w:pPr>
              <w:pStyle w:val="Compact"/>
              <w:jc w:val="left"/>
            </w:pPr>
            <w:r>
              <w:t xml:space="preserve">Preparation of final geological report, geological cross-sections, and foundation recommendations per DIN 4018/4019</w:t>
            </w:r>
          </w:p>
        </w:tc>
        <w:tc>
          <w:tcPr/>
          <w:p>
            <w:pPr>
              <w:pStyle w:val="Compact"/>
              <w:jc w:val="left"/>
            </w:pPr>
            <w:r>
              <w:t xml:space="preserve">1 lot</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Week 8</w:t>
            </w:r>
          </w:p>
        </w:tc>
      </w:tr>
      <w:tr>
        <w:tc>
          <w:tcPr/>
          <w:p>
            <w:pPr>
              <w:pStyle w:val="Compact"/>
              <w:jc w:val="left"/>
            </w:pPr>
            <w:r>
              <w:t xml:space="preserve">8</w:t>
            </w:r>
          </w:p>
        </w:tc>
        <w:tc>
          <w:tcPr/>
          <w:p>
            <w:pPr>
              <w:pStyle w:val="Compact"/>
              <w:jc w:val="left"/>
            </w:pPr>
            <w:r>
              <w:t xml:space="preserve">Client presentation, Q&amp;A session, and two rounds of report revision</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Week 9</w:t>
            </w:r>
          </w:p>
        </w:tc>
      </w:tr>
      <w:tr>
        <w:tc>
          <w:tcPr/>
          <w:p>
            <w:pPr>
              <w:pStyle w:val="Compact"/>
              <w:jc w:val="left"/>
            </w:pPr>
            <w:r>
              <w:t xml:space="preserve">9</w:t>
            </w:r>
          </w:p>
        </w:tc>
        <w:tc>
          <w:tcPr/>
          <w:p>
            <w:pPr>
              <w:pStyle w:val="Compact"/>
              <w:jc w:val="left"/>
            </w:pPr>
            <w:r>
              <w:t xml:space="preserve">Permitting, environmental compliance, and coordination with Berliner Senatsverwaltung für Umwelt</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Weeks 1–2</w:t>
            </w:r>
          </w:p>
        </w:tc>
      </w:tr>
      <w:tr>
        <w:tc>
          <w:tcPr>
            <w:gridSpan w:val="4"/>
          </w:tcPr>
          <w:p>
            <w:pPr>
              <w:pStyle w:val="Compact"/>
              <w:jc w:val="left"/>
            </w:pPr>
            <w:r>
              <w:t xml:space="preserve">Subtotal (excl. VAT)</w:t>
            </w:r>
          </w:p>
        </w:tc>
        <w:tc>
          <w:tcPr/>
          <w:p>
            <w:pPr>
              <w:pStyle w:val="Compact"/>
              <w:jc w:val="left"/>
            </w:pPr>
            <w:r>
              <w:t xml:space="preserve">157,540.00</w:t>
            </w:r>
          </w:p>
        </w:tc>
        <w:tc>
          <w:tcPr/>
          <w:p>
            <w:pPr>
              <w:pStyle w:val="Compact"/>
            </w:pPr>
          </w:p>
        </w:tc>
      </w:tr>
      <w:tr>
        <w:tc>
          <w:tcPr>
            <w:gridSpan w:val="4"/>
          </w:tcPr>
          <w:p>
            <w:pPr>
              <w:pStyle w:val="Compact"/>
              <w:jc w:val="left"/>
            </w:pPr>
            <w:r>
              <w:t xml:space="preserve">VAT (19% – Umsatzsteuer)</w:t>
            </w:r>
          </w:p>
        </w:tc>
        <w:tc>
          <w:tcPr/>
          <w:p>
            <w:pPr>
              <w:pStyle w:val="Compact"/>
              <w:jc w:val="left"/>
            </w:pPr>
            <w:r>
              <w:t xml:space="preserve">29,932.60</w:t>
            </w:r>
          </w:p>
        </w:tc>
        <w:tc>
          <w:tcPr/>
          <w:p>
            <w:pPr>
              <w:pStyle w:val="Compact"/>
            </w:pPr>
          </w:p>
        </w:tc>
      </w:tr>
      <w:tr>
        <w:tc>
          <w:tcPr>
            <w:gridSpan w:val="4"/>
          </w:tcPr>
          <w:p>
            <w:pPr>
              <w:pStyle w:val="Compact"/>
              <w:jc w:val="left"/>
            </w:pPr>
            <w:r>
              <w:rPr>
                <w:bCs/>
                <w:b/>
              </w:rPr>
              <w:t xml:space="preserve">TOTAL AMOUNT (incl. VAT)</w:t>
            </w:r>
          </w:p>
        </w:tc>
        <w:tc>
          <w:tcPr/>
          <w:p>
            <w:pPr>
              <w:pStyle w:val="Compact"/>
              <w:jc w:val="left"/>
            </w:pPr>
            <w:r>
              <w:rPr>
                <w:bCs/>
                <w:b/>
              </w:rPr>
              <w:t xml:space="preserve">187,472.60</w:t>
            </w:r>
          </w:p>
        </w:tc>
        <w:tc>
          <w:tcPr/>
          <w:p>
            <w:pPr>
              <w:pStyle w:val="Compact"/>
            </w:pPr>
          </w:p>
        </w:tc>
      </w:tr>
    </w:tbl>
    <w:p>
      <w:pPr>
        <w:pStyle w:val="BodyText"/>
      </w:pPr>
      <w:r>
        <w:t xml:space="preserve">3.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30 calendar days from the date of issue. After 14 July 2025, all rates are subject to revision based on current market conditions in</w:t>
      </w:r>
      <w:r>
        <w:t xml:space="preserve"> </w:t>
      </w:r>
      <w:r>
        <w:t xml:space="preserve">Germany Berlin</w:t>
      </w:r>
      <w:r>
        <w:t xml:space="preserve">.</w:t>
      </w:r>
    </w:p>
    <w:p>
      <w:pPr>
        <w:numPr>
          <w:ilvl w:val="0"/>
          <w:numId w:val="1001"/>
        </w:numPr>
        <w:pStyle w:val="Compact"/>
      </w:pPr>
      <w:r>
        <w:rPr>
          <w:bCs/>
          <w:b/>
        </w:rPr>
        <w:t xml:space="preserve">Payment Terms:</w:t>
      </w:r>
      <w:r>
        <w:t xml:space="preserve"> </w:t>
      </w:r>
      <w:r>
        <w:t xml:space="preserve">30% advance payment upon contract signing; 40% upon completion of fieldwork (end of Week 5); 30% upon delivery of the final geological report. Invoices are payable within 14 days net per German commercial practice (BGB § 286).</w:t>
      </w:r>
    </w:p>
    <w:p>
      <w:pPr>
        <w:numPr>
          <w:ilvl w:val="0"/>
          <w:numId w:val="1001"/>
        </w:numPr>
        <w:pStyle w:val="Compact"/>
      </w:pPr>
      <w:r>
        <w:rPr>
          <w:bCs/>
          <w:b/>
        </w:rPr>
        <w:t xml:space="preserve">Liability:</w:t>
      </w:r>
      <w:r>
        <w:t xml:space="preserve"> </w:t>
      </w:r>
      <w:r>
        <w:t xml:space="preserve">The</w:t>
      </w:r>
      <w:r>
        <w:t xml:space="preserve"> </w:t>
      </w:r>
      <w:r>
        <w:t xml:space="preserve">Geologist</w:t>
      </w:r>
      <w:r>
        <w:t xml:space="preserve"> </w:t>
      </w:r>
      <w:r>
        <w:t xml:space="preserve">and GeoBerlin Consulting GmbH shall be liable for damages up to the total contract value. Liability is limited to gross negligence and intentional misconduct in accordance with German civil law.</w:t>
      </w:r>
    </w:p>
    <w:p>
      <w:pPr>
        <w:numPr>
          <w:ilvl w:val="0"/>
          <w:numId w:val="1001"/>
        </w:numPr>
        <w:pStyle w:val="Compact"/>
      </w:pPr>
      <w:r>
        <w:rPr>
          <w:bCs/>
          <w:b/>
        </w:rPr>
        <w:t xml:space="preserve">Confidentiality:</w:t>
      </w:r>
      <w:r>
        <w:t xml:space="preserve"> </w:t>
      </w:r>
      <w:r>
        <w:t xml:space="preserve">All geological data, borehole logs, and site-specific information pertaining to this project in</w:t>
      </w:r>
      <w:r>
        <w:t xml:space="preserve"> </w:t>
      </w:r>
      <w:r>
        <w:t xml:space="preserve">Germany Berlin</w:t>
      </w:r>
      <w:r>
        <w:t xml:space="preserve"> </w:t>
      </w:r>
      <w:r>
        <w:t xml:space="preserve">shall be treated as confidential and shall not be disclosed to third parties without written consent from the client.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extreme weather, regulatory changes by the Berliner Senatsverwaltung, or force majeure events as defined under German law.</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or the resulting contract shall be resolved by the competent courts of Berlin, Germany. The applicable law shall be the law of the Federal Republic of Germany.</w:t>
      </w:r>
    </w:p>
    <w:p>
      <w:pPr>
        <w:numPr>
          <w:ilvl w:val="0"/>
          <w:numId w:val="1001"/>
        </w:numPr>
        <w:pStyle w:val="Compact"/>
      </w:pPr>
      <w:r>
        <w:rPr>
          <w:bCs/>
          <w:b/>
        </w:rPr>
        <w:t xml:space="preserve">Subcontracting:</w:t>
      </w:r>
      <w:r>
        <w:t xml:space="preserve"> </w:t>
      </w:r>
      <w:r>
        <w:t xml:space="preserve">The</w:t>
      </w:r>
      <w:r>
        <w:t xml:space="preserve"> </w:t>
      </w:r>
      <w:r>
        <w:t xml:space="preserve">Geologist</w:t>
      </w:r>
      <w:r>
        <w:t xml:space="preserve"> </w:t>
      </w:r>
      <w:r>
        <w:t xml:space="preserve">reserves the right to subcontract laboratory analysis and geophysical survey components to accredited partner firms, provided that quality standards and reporting obligations remain fully met.</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scope of geological services, pricing, and terms outlined herein. The engagement of the</w:t>
      </w:r>
      <w:r>
        <w:t xml:space="preserve"> </w:t>
      </w:r>
      <w:r>
        <w:t xml:space="preserve">Geologist</w:t>
      </w:r>
      <w:r>
        <w:t xml:space="preserve"> </w:t>
      </w:r>
      <w:r>
        <w:t xml:space="preserve">and all fieldwork in</w:t>
      </w:r>
      <w:r>
        <w:t xml:space="preserve"> </w:t>
      </w:r>
      <w:r>
        <w:t xml:space="preserve">Germany Berlin</w:t>
      </w:r>
      <w:r>
        <w:t xml:space="preserve"> </w:t>
      </w:r>
      <w:r>
        <w:t xml:space="preserve">shall commence upon written confirmation and receipt of the advance payment.</w:t>
      </w:r>
    </w:p>
    <w:p>
      <w:pPr>
        <w:pStyle w:val="BodyText"/>
      </w:pPr>
      <w:r>
        <w:rPr>
          <w:bCs/>
          <w:b/>
        </w:rPr>
        <w:t xml:space="preserve">For GeoBerlin Consulting GmbH</w:t>
      </w:r>
    </w:p>
    <w:p>
      <w:pPr>
        <w:pStyle w:val="BodyText"/>
      </w:pPr>
      <w:r>
        <w:t xml:space="preserve">Dr. Anna Richter, PhD</w:t>
      </w:r>
    </w:p>
    <w:p>
      <w:pPr>
        <w:pStyle w:val="BodyText"/>
      </w:pPr>
      <w:r>
        <w:t xml:space="preserve">Lead Geologist</w:t>
      </w:r>
    </w:p>
    <w:p>
      <w:pPr>
        <w:pStyle w:val="BodyText"/>
      </w:pPr>
      <w:r>
        <w:t xml:space="preserve">Signature &amp; Date</w:t>
      </w:r>
    </w:p>
    <w:p>
      <w:pPr>
        <w:pStyle w:val="BodyText"/>
      </w:pPr>
      <w:r>
        <w:rPr>
          <w:bCs/>
          <w:b/>
        </w:rPr>
        <w:t xml:space="preserve">For Berlin Stadtentwicklung AG</w:t>
      </w:r>
    </w:p>
    <w:p>
      <w:pPr>
        <w:pStyle w:val="BodyText"/>
      </w:pPr>
      <w:r>
        <w:t xml:space="preserve">Dr. Markus Weber</w:t>
      </w:r>
    </w:p>
    <w:p>
      <w:pPr>
        <w:pStyle w:val="BodyText"/>
      </w:pPr>
      <w:r>
        <w:t xml:space="preserve">Head of Urban Planning</w:t>
      </w:r>
    </w:p>
    <w:p>
      <w:pPr>
        <w:pStyle w:val="BodyText"/>
      </w:pPr>
      <w:r>
        <w:t xml:space="preserve">Signature &amp; Date</w:t>
      </w:r>
    </w:p>
    <w:p>
      <w:pPr>
        <w:pStyle w:val="BodyText"/>
      </w:pPr>
      <w:r>
        <w:t xml:space="preserve">This</w:t>
      </w:r>
      <w:r>
        <w:t xml:space="preserve"> </w:t>
      </w:r>
      <w:r>
        <w:t xml:space="preserve">Quotation Estimate</w:t>
      </w:r>
      <w:r>
        <w:t xml:space="preserve"> </w:t>
      </w:r>
      <w:r>
        <w:t xml:space="preserve">(Ref. QTE-2025-BER-0047) was prepared by GeoBerlin Consulting GmbH for geological services in</w:t>
      </w:r>
      <w:r>
        <w:t xml:space="preserve"> </w:t>
      </w:r>
      <w:r>
        <w:t xml:space="preserve">Germany Berlin</w:t>
      </w:r>
      <w:r>
        <w:t xml:space="preserve">. All rates are in EUR. This document constitutes a binding offer upon acceptance. © 2025 GeoBerlin Consulting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Germany Berlin</dc:title>
  <dc:creator/>
  <dc:language>en</dc:language>
  <cp:keywords/>
  <dcterms:created xsi:type="dcterms:W3CDTF">2026-10-10T03:07:35Z</dcterms:created>
  <dcterms:modified xsi:type="dcterms:W3CDTF">2026-10-10T03:07:35Z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