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Geological Consulting Services —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QTE-GEOL-2025-0472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Provider</w:t>
            </w:r>
          </w:p>
        </w:tc>
        <w:tc>
          <w:tcPr/>
          <w:p>
            <w:pPr>
              <w:pStyle w:val="Compact"/>
              <w:jc w:val="left"/>
            </w:pPr>
            <w:r>
              <w:t xml:space="preserve">Dr. Amir Hosseini, Certified Geologist — Tehran Geological Consulting Group</w:t>
            </w:r>
          </w:p>
        </w:tc>
      </w:tr>
      <w:tr>
        <w:tc>
          <w:tcPr/>
          <w:p>
            <w:pPr>
              <w:pStyle w:val="Compact"/>
              <w:jc w:val="left"/>
            </w:pPr>
            <w:r>
              <w:t xml:space="preserve">Address</w:t>
            </w:r>
          </w:p>
        </w:tc>
        <w:tc>
          <w:tcPr/>
          <w:p>
            <w:pPr>
              <w:pStyle w:val="Compact"/>
              <w:jc w:val="left"/>
            </w:pPr>
            <w:r>
              <w:t xml:space="preserve">142 Valiasr Street, 12th Floor, Tehran, Iran</w:t>
            </w:r>
          </w:p>
        </w:tc>
      </w:tr>
      <w:tr>
        <w:tc>
          <w:tcPr/>
          <w:p>
            <w:pPr>
              <w:pStyle w:val="Compact"/>
              <w:jc w:val="left"/>
            </w:pPr>
            <w:r>
              <w:t xml:space="preserve">Client</w:t>
            </w:r>
          </w:p>
        </w:tc>
        <w:tc>
          <w:tcPr/>
          <w:p>
            <w:pPr>
              <w:pStyle w:val="Compact"/>
              <w:jc w:val="left"/>
            </w:pPr>
            <w:r>
              <w:t xml:space="preserve">Tehran Metropolitan Development Authority (TMDA)</w:t>
            </w:r>
          </w:p>
        </w:tc>
      </w:tr>
      <w:tr>
        <w:tc>
          <w:tcPr/>
          <w:p>
            <w:pPr>
              <w:pStyle w:val="Compact"/>
              <w:jc w:val="left"/>
            </w:pPr>
            <w:r>
              <w:t xml:space="preserve">Project Location</w:t>
            </w:r>
          </w:p>
        </w:tc>
        <w:tc>
          <w:tcPr/>
          <w:p>
            <w:pPr>
              <w:pStyle w:val="Compact"/>
              <w:jc w:val="left"/>
            </w:pPr>
            <w:r>
              <w:t xml:space="preserve">Northwestern District, Tehran, Iran</w:t>
            </w:r>
          </w:p>
        </w:tc>
      </w:tr>
      <w:tr>
        <w:tc>
          <w:tcPr/>
          <w:p>
            <w:pPr>
              <w:pStyle w:val="Compact"/>
              <w:jc w:val="left"/>
            </w:pPr>
            <w:r>
              <w:t xml:space="preserve">Currency</w:t>
            </w:r>
          </w:p>
        </w:tc>
        <w:tc>
          <w:tcPr/>
          <w:p>
            <w:pPr>
              <w:pStyle w:val="Compact"/>
              <w:jc w:val="left"/>
            </w:pPr>
            <w:r>
              <w:t xml:space="preserve">Iranian Rial (IRR) / USD equivalent</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Dr. Amir Hosseini, a licensed and certified</w:t>
      </w:r>
      <w:r>
        <w:t xml:space="preserve"> </w:t>
      </w:r>
      <w:r>
        <w:t xml:space="preserve">Geologist</w:t>
      </w:r>
      <w:r>
        <w:t xml:space="preserve"> </w:t>
      </w:r>
      <w:r>
        <w:t xml:space="preserve">operating under the Tehran Geological Consulting Group, to provide a comprehensive and itemized cost breakdown for geological survey, assessment, and advisory services to be conducted within the metropolitan area of</w:t>
      </w:r>
      <w:r>
        <w:t xml:space="preserve"> </w:t>
      </w:r>
      <w:r>
        <w:t xml:space="preserve">Iran Tehran</w:t>
      </w:r>
      <w:r>
        <w:t xml:space="preserve">. This document serves as a binding financial proposal and shall remain valid for the period specified above. All rates, deliverables, and conditions outlined in this Quotation Estimate are subject to mutual agreement between the Geologist and the Client prior to the commencement of fieldwork.</w:t>
      </w:r>
    </w:p>
    <w:bookmarkEnd w:id="21"/>
    <w:bookmarkStart w:id="22" w:name="scope-of-geological-services"/>
    <w:p>
      <w:pPr>
        <w:pStyle w:val="Heading2"/>
      </w:pPr>
      <w:r>
        <w:t xml:space="preserve">2. Scope of Geological Services</w:t>
      </w:r>
    </w:p>
    <w:p>
      <w:pPr>
        <w:pStyle w:val="FirstParagraph"/>
      </w:pPr>
      <w:r>
        <w:t xml:space="preserve">The following services are included in this Quotation Estimate for the Geologist to perform in Iran Tehran:</w:t>
      </w:r>
    </w:p>
    <w:p>
      <w:pPr>
        <w:numPr>
          <w:ilvl w:val="0"/>
          <w:numId w:val="1001"/>
        </w:numPr>
        <w:pStyle w:val="Compact"/>
      </w:pPr>
      <w:r>
        <w:rPr>
          <w:bCs/>
          <w:b/>
        </w:rPr>
        <w:t xml:space="preserve">Geological Site Investigation:</w:t>
      </w:r>
      <w:r>
        <w:t xml:space="preserve"> </w:t>
      </w:r>
      <w:r>
        <w:t xml:space="preserve">Comprehensive subsurface mapping and stratigraphic analysis of the designated 12-hectare parcel in the northwestern district of Tehran, Iran, including identification of fault lines, aquifer layers, and soil composition relevant to the Alborz mountain foothill geology.</w:t>
      </w:r>
    </w:p>
    <w:p>
      <w:pPr>
        <w:numPr>
          <w:ilvl w:val="0"/>
          <w:numId w:val="1001"/>
        </w:numPr>
        <w:pStyle w:val="Compact"/>
      </w:pPr>
      <w:r>
        <w:rPr>
          <w:bCs/>
          <w:b/>
        </w:rPr>
        <w:t xml:space="preserve">Geotechnical Assessment:</w:t>
      </w:r>
      <w:r>
        <w:t xml:space="preserve"> </w:t>
      </w:r>
      <w:r>
        <w:t xml:space="preserve">Laboratory and field testing of soil and rock samples to determine bearing capacity, shear strength, and compressibility parameters necessary for the proposed multi-story commercial development in Tehran, Iran.</w:t>
      </w:r>
    </w:p>
    <w:p>
      <w:pPr>
        <w:numPr>
          <w:ilvl w:val="0"/>
          <w:numId w:val="1001"/>
        </w:numPr>
        <w:pStyle w:val="Compact"/>
      </w:pPr>
      <w:r>
        <w:rPr>
          <w:bCs/>
          <w:b/>
        </w:rPr>
        <w:t xml:space="preserve">Seismic Hazard Evaluation:</w:t>
      </w:r>
      <w:r>
        <w:t xml:space="preserve"> </w:t>
      </w:r>
      <w:r>
        <w:t xml:space="preserve">Assessment of seismic risk factors specific to the Tehran, Iran region, including proximity to the North Tehran Fault and the Alborz Active Fault Zone, with recommendations for structural design modifications.</w:t>
      </w:r>
    </w:p>
    <w:p>
      <w:pPr>
        <w:numPr>
          <w:ilvl w:val="0"/>
          <w:numId w:val="1001"/>
        </w:numPr>
        <w:pStyle w:val="Compact"/>
      </w:pPr>
      <w:r>
        <w:rPr>
          <w:bCs/>
          <w:b/>
        </w:rPr>
        <w:t xml:space="preserve">Groundwater and Hydrogeological Survey:</w:t>
      </w:r>
      <w:r>
        <w:t xml:space="preserve"> </w:t>
      </w:r>
      <w:r>
        <w:t xml:space="preserve">Mapping of groundwater tables, flow directions, and contamination potential within the project site boundaries in Iran Tehran, in compliance with the Iranian Environmental Protection Agency (EPA) regulations.</w:t>
      </w:r>
    </w:p>
    <w:p>
      <w:pPr>
        <w:numPr>
          <w:ilvl w:val="0"/>
          <w:numId w:val="1001"/>
        </w:numPr>
        <w:pStyle w:val="Compact"/>
      </w:pPr>
      <w:r>
        <w:rPr>
          <w:bCs/>
          <w:b/>
        </w:rPr>
        <w:t xml:space="preserve">Environmental Geology Report:</w:t>
      </w:r>
      <w:r>
        <w:t xml:space="preserve"> </w:t>
      </w:r>
      <w:r>
        <w:t xml:space="preserve">Identification of any naturally occurring hazardous materials, radon gas concentrations, or geologically induced environmental risks present at the site in Tehran, Iran.</w:t>
      </w:r>
    </w:p>
    <w:p>
      <w:pPr>
        <w:numPr>
          <w:ilvl w:val="0"/>
          <w:numId w:val="1001"/>
        </w:numPr>
        <w:pStyle w:val="Compact"/>
      </w:pPr>
      <w:r>
        <w:rPr>
          <w:bCs/>
          <w:b/>
        </w:rPr>
        <w:t xml:space="preserve">Final Technical Report and Advisory:</w:t>
      </w:r>
      <w:r>
        <w:t xml:space="preserve"> </w:t>
      </w:r>
      <w:r>
        <w:t xml:space="preserve">A 200-page comprehensive geological report in both Persian (Farsi) and English, accompanied by a 4-hour on-site advisory session with the Client's engineering team in Tehran, Iran.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Geological Site Investigation &amp; Field Mapping</w:t>
            </w:r>
          </w:p>
        </w:tc>
        <w:tc>
          <w:tcPr/>
          <w:p>
            <w:pPr>
              <w:pStyle w:val="Compact"/>
              <w:jc w:val="left"/>
            </w:pPr>
            <w:r>
              <w:t xml:space="preserve">15 working days</w:t>
            </w:r>
          </w:p>
        </w:tc>
        <w:tc>
          <w:tcPr/>
          <w:p>
            <w:pPr>
              <w:pStyle w:val="Compact"/>
              <w:jc w:val="left"/>
            </w:pPr>
            <w:r>
              <w:t xml:space="preserve">$1,200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Geotechnical Laboratory Testing (soil &amp; rock)</w:t>
            </w:r>
          </w:p>
        </w:tc>
        <w:tc>
          <w:tcPr/>
          <w:p>
            <w:pPr>
              <w:pStyle w:val="Compact"/>
              <w:jc w:val="left"/>
            </w:pPr>
            <w:r>
              <w:t xml:space="preserve">40 samples</w:t>
            </w:r>
          </w:p>
        </w:tc>
        <w:tc>
          <w:tcPr/>
          <w:p>
            <w:pPr>
              <w:pStyle w:val="Compact"/>
              <w:jc w:val="left"/>
            </w:pPr>
            <w:r>
              <w:t xml:space="preserve">$350</w:t>
            </w:r>
          </w:p>
        </w:tc>
        <w:tc>
          <w:tcPr/>
          <w:p>
            <w:pPr>
              <w:pStyle w:val="Compact"/>
              <w:jc w:val="left"/>
            </w:pPr>
            <w:r>
              <w:t xml:space="preserve">$14,000</w:t>
            </w:r>
          </w:p>
        </w:tc>
      </w:tr>
      <w:tr>
        <w:tc>
          <w:tcPr/>
          <w:p>
            <w:pPr>
              <w:pStyle w:val="Compact"/>
              <w:jc w:val="left"/>
            </w:pPr>
            <w:r>
              <w:t xml:space="preserve">03</w:t>
            </w:r>
          </w:p>
        </w:tc>
        <w:tc>
          <w:tcPr/>
          <w:p>
            <w:pPr>
              <w:pStyle w:val="Compact"/>
              <w:jc w:val="left"/>
            </w:pPr>
            <w:r>
              <w:t xml:space="preserve">Seismic Hazard Evaluation &amp; Fault Proximity Analysis</w:t>
            </w:r>
          </w:p>
        </w:tc>
        <w:tc>
          <w:tcPr/>
          <w:p>
            <w:pPr>
              <w:pStyle w:val="Compact"/>
              <w:jc w:val="left"/>
            </w:pPr>
            <w:r>
              <w:t xml:space="preserve">10 working days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Groundwater &amp; Hydrogeological Survey</w:t>
            </w:r>
          </w:p>
        </w:tc>
        <w:tc>
          <w:tcPr/>
          <w:p>
            <w:pPr>
              <w:pStyle w:val="Compact"/>
              <w:jc w:val="left"/>
            </w:pPr>
            <w:r>
              <w:t xml:space="preserve">8 working days</w:t>
            </w:r>
          </w:p>
        </w:tc>
        <w:tc>
          <w:tcPr/>
          <w:p>
            <w:pPr>
              <w:pStyle w:val="Compact"/>
              <w:jc w:val="left"/>
            </w:pPr>
            <w:r>
              <w:t xml:space="preserve">$1,100</w:t>
            </w:r>
          </w:p>
        </w:tc>
        <w:tc>
          <w:tcPr/>
          <w:p>
            <w:pPr>
              <w:pStyle w:val="Compact"/>
              <w:jc w:val="left"/>
            </w:pPr>
            <w:r>
              <w:t xml:space="preserve">$8,800</w:t>
            </w:r>
          </w:p>
        </w:tc>
      </w:tr>
      <w:tr>
        <w:tc>
          <w:tcPr/>
          <w:p>
            <w:pPr>
              <w:pStyle w:val="Compact"/>
              <w:jc w:val="left"/>
            </w:pPr>
            <w:r>
              <w:t xml:space="preserve">05</w:t>
            </w:r>
          </w:p>
        </w:tc>
        <w:tc>
          <w:tcPr/>
          <w:p>
            <w:pPr>
              <w:pStyle w:val="Compact"/>
              <w:jc w:val="left"/>
            </w:pPr>
            <w:r>
              <w:t xml:space="preserve">Environmental Geology Assessment</w:t>
            </w:r>
          </w:p>
        </w:tc>
        <w:tc>
          <w:tcPr/>
          <w:p>
            <w:pPr>
              <w:pStyle w:val="Compact"/>
              <w:jc w:val="left"/>
            </w:pPr>
            <w:r>
              <w:t xml:space="preserve">5 working days</w:t>
            </w:r>
          </w:p>
        </w:tc>
        <w:tc>
          <w:tcPr/>
          <w:p>
            <w:pPr>
              <w:pStyle w:val="Compact"/>
              <w:jc w:val="left"/>
            </w:pPr>
            <w:r>
              <w:t xml:space="preserve">$950</w:t>
            </w:r>
          </w:p>
        </w:tc>
        <w:tc>
          <w:tcPr/>
          <w:p>
            <w:pPr>
              <w:pStyle w:val="Compact"/>
              <w:jc w:val="left"/>
            </w:pPr>
            <w:r>
              <w:t xml:space="preserve">$4,750</w:t>
            </w:r>
          </w:p>
        </w:tc>
      </w:tr>
      <w:tr>
        <w:tc>
          <w:tcPr/>
          <w:p>
            <w:pPr>
              <w:pStyle w:val="Compact"/>
              <w:jc w:val="left"/>
            </w:pPr>
            <w:r>
              <w:t xml:space="preserve">06</w:t>
            </w:r>
          </w:p>
        </w:tc>
        <w:tc>
          <w:tcPr/>
          <w:p>
            <w:pPr>
              <w:pStyle w:val="Compact"/>
              <w:jc w:val="left"/>
            </w:pPr>
            <w:r>
              <w:t xml:space="preserve">Final Technical Report (Farsi &amp; English) + Advisory Session</w:t>
            </w:r>
          </w:p>
        </w:tc>
        <w:tc>
          <w:tcPr/>
          <w:p>
            <w:pPr>
              <w:pStyle w:val="Compact"/>
              <w:jc w:val="left"/>
            </w:pPr>
            <w:r>
              <w:t xml:space="preserve">1 report + 4 hrs</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07</w:t>
            </w:r>
          </w:p>
        </w:tc>
        <w:tc>
          <w:tcPr/>
          <w:p>
            <w:pPr>
              <w:pStyle w:val="Compact"/>
              <w:jc w:val="left"/>
            </w:pPr>
            <w:r>
              <w:t xml:space="preserve">Travel, Permits &amp; Local Logistics within Tehran, Iran</w:t>
            </w:r>
          </w:p>
        </w:tc>
        <w:tc>
          <w:tcPr/>
          <w:p>
            <w:pPr>
              <w:pStyle w:val="Compact"/>
              <w:jc w:val="left"/>
            </w:pPr>
            <w:r>
              <w:t xml:space="preserve">Lump sum</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08</w:t>
            </w:r>
          </w:p>
        </w:tc>
        <w:tc>
          <w:tcPr/>
          <w:p>
            <w:pPr>
              <w:pStyle w:val="Compact"/>
              <w:jc w:val="left"/>
            </w:pPr>
            <w:r>
              <w:t xml:space="preserve">Project Management &amp; Coordination (Geologist oversight)</w:t>
            </w:r>
          </w:p>
        </w:tc>
        <w:tc>
          <w:tcPr/>
          <w:p>
            <w:pPr>
              <w:pStyle w:val="Compact"/>
              <w:jc w:val="left"/>
            </w:pPr>
            <w:r>
              <w:t xml:space="preserve">45 working days</w:t>
            </w:r>
          </w:p>
        </w:tc>
        <w:tc>
          <w:tcPr/>
          <w:p>
            <w:pPr>
              <w:pStyle w:val="Compact"/>
              <w:jc w:val="left"/>
            </w:pPr>
            <w:r>
              <w:t xml:space="preserve">$600</w:t>
            </w:r>
          </w:p>
        </w:tc>
        <w:tc>
          <w:tcPr/>
          <w:p>
            <w:pPr>
              <w:pStyle w:val="Compact"/>
              <w:jc w:val="left"/>
            </w:pPr>
            <w:r>
              <w:t xml:space="preserve">$27,000</w:t>
            </w:r>
          </w:p>
        </w:tc>
      </w:tr>
      <w:tr>
        <w:tc>
          <w:tcPr>
            <w:gridSpan w:val="4"/>
          </w:tcPr>
          <w:p>
            <w:pPr>
              <w:pStyle w:val="Compact"/>
              <w:jc w:val="left"/>
            </w:pPr>
            <w:r>
              <w:t xml:space="preserve">TOTAL ESTIMATED COST (before applicable taxes)</w:t>
            </w:r>
          </w:p>
        </w:tc>
        <w:tc>
          <w:tcPr/>
          <w:p>
            <w:pPr>
              <w:pStyle w:val="Compact"/>
              <w:jc w:val="left"/>
            </w:pPr>
            <w:r>
              <w:t xml:space="preserve">$92,550</w:t>
            </w:r>
          </w:p>
        </w:tc>
      </w:tr>
      <w:tr>
        <w:tc>
          <w:tcPr>
            <w:gridSpan w:val="4"/>
          </w:tcPr>
          <w:p>
            <w:pPr>
              <w:pStyle w:val="Compact"/>
              <w:jc w:val="left"/>
            </w:pPr>
            <w:r>
              <w:t xml:space="preserve">Applicable VAT (9% per Iranian tax regulations)</w:t>
            </w:r>
          </w:p>
        </w:tc>
        <w:tc>
          <w:tcPr/>
          <w:p>
            <w:pPr>
              <w:pStyle w:val="Compact"/>
              <w:jc w:val="left"/>
            </w:pPr>
            <w:r>
              <w:t xml:space="preserve">$8,330</w:t>
            </w:r>
          </w:p>
        </w:tc>
      </w:tr>
      <w:tr>
        <w:tc>
          <w:tcPr>
            <w:gridSpan w:val="4"/>
          </w:tcPr>
          <w:p>
            <w:pPr>
              <w:pStyle w:val="Compact"/>
              <w:jc w:val="left"/>
            </w:pPr>
            <w:r>
              <w:t xml:space="preserve">GRAND TOTAL</w:t>
            </w:r>
          </w:p>
        </w:tc>
        <w:tc>
          <w:tcPr/>
          <w:p>
            <w:pPr>
              <w:pStyle w:val="Compact"/>
              <w:jc w:val="left"/>
            </w:pPr>
            <w:r>
              <w:t xml:space="preserve">$100,880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30% Advance Payment:</w:t>
      </w:r>
      <w:r>
        <w:t xml:space="preserve"> </w:t>
      </w:r>
      <w:r>
        <w:t xml:space="preserve">Due upon acceptance of this Quotation Estimate and execution of the service agreement, prior to mobilization of the Geologist to the site in Tehran, Iran.</w:t>
      </w:r>
    </w:p>
    <w:p>
      <w:pPr>
        <w:numPr>
          <w:ilvl w:val="0"/>
          <w:numId w:val="1002"/>
        </w:numPr>
        <w:pStyle w:val="Compact"/>
      </w:pPr>
      <w:r>
        <w:rPr>
          <w:bCs/>
          <w:b/>
        </w:rPr>
        <w:t xml:space="preserve">40% Progress Payment:</w:t>
      </w:r>
      <w:r>
        <w:t xml:space="preserve"> </w:t>
      </w:r>
      <w:r>
        <w:t xml:space="preserve">Due upon completion of fieldwork and submission of interim data to the Client's project office in Iran Tehran.</w:t>
      </w:r>
    </w:p>
    <w:p>
      <w:pPr>
        <w:numPr>
          <w:ilvl w:val="0"/>
          <w:numId w:val="1002"/>
        </w:numPr>
        <w:pStyle w:val="Compact"/>
      </w:pPr>
      <w:r>
        <w:rPr>
          <w:bCs/>
          <w:b/>
        </w:rPr>
        <w:t xml:space="preserve">30% Final Payment:</w:t>
      </w:r>
      <w:r>
        <w:t xml:space="preserve"> </w:t>
      </w:r>
      <w:r>
        <w:t xml:space="preserve">Due upon delivery and acceptance of the Final Technical Report and completion of the advisory session.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Any request for services beyond this period will require a revised Quotation Estimate from the Geologist.</w:t>
      </w:r>
    </w:p>
    <w:p>
      <w:pPr>
        <w:numPr>
          <w:ilvl w:val="0"/>
          <w:numId w:val="1003"/>
        </w:numPr>
        <w:pStyle w:val="Compact"/>
      </w:pPr>
      <w:r>
        <w:t xml:space="preserve">All geological data, reports, and findings produced by the Geologist remain the intellectual property of the Client upon full payment, subject to the Geologist's right to reference the project in professional portfolios.</w:t>
      </w:r>
    </w:p>
    <w:p>
      <w:pPr>
        <w:numPr>
          <w:ilvl w:val="0"/>
          <w:numId w:val="1003"/>
        </w:numPr>
        <w:pStyle w:val="Compact"/>
      </w:pPr>
      <w:r>
        <w:t xml:space="preserve">The Geologist shall comply with all applicable laws and regulations of the Islamic Republic of Iran, including the Iranian Geological Survey and Mining Industries (IGSMI) licensing requirements and Tehran municipal building codes.</w:t>
      </w:r>
    </w:p>
    <w:p>
      <w:pPr>
        <w:numPr>
          <w:ilvl w:val="0"/>
          <w:numId w:val="1003"/>
        </w:numPr>
        <w:pStyle w:val="Compact"/>
      </w:pPr>
      <w:r>
        <w:t xml:space="preserve">Any changes to the scope of work in Iran Tehran must be documented in a written Change Order signed by both parties before additional work commences.</w:t>
      </w:r>
    </w:p>
    <w:p>
      <w:pPr>
        <w:numPr>
          <w:ilvl w:val="0"/>
          <w:numId w:val="1003"/>
        </w:numPr>
        <w:pStyle w:val="Compact"/>
      </w:pPr>
      <w:r>
        <w:t xml:space="preserve">The Geologist shall carry professional liability insurance with a minimum coverage of USD 2,000,000 for the duration of the project in Tehran, Iran.</w:t>
      </w:r>
    </w:p>
    <w:p>
      <w:pPr>
        <w:numPr>
          <w:ilvl w:val="0"/>
          <w:numId w:val="1003"/>
        </w:numPr>
        <w:pStyle w:val="Compact"/>
      </w:pPr>
      <w:r>
        <w:t xml:space="preserve">Disputes arising from this Quotation Estimate shall be resolved through arbitration in accordance with the rules of the Tehran International Arbitration Center.</w:t>
      </w:r>
    </w:p>
    <w:p>
      <w:pPr>
        <w:numPr>
          <w:ilvl w:val="0"/>
          <w:numId w:val="1003"/>
        </w:numPr>
        <w:pStyle w:val="Compact"/>
      </w:pPr>
      <w:r>
        <w:t xml:space="preserve">Force majeure events, including but not limited to natural disasters common to the Tehran, Iran region (earthquakes, severe flooding), shall suspend obligations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represents the agreed-upon scope, cost, and terms for the geological services to be provided by the Geologist in Iran Tehran. This document, once countersigned, constitutes a binding service agreement.</w:t>
      </w:r>
    </w:p>
    <w:p>
      <w:pPr>
        <w:pStyle w:val="BodyText"/>
      </w:pPr>
      <w:r>
        <w:rPr>
          <w:bCs/>
          <w:b/>
        </w:rPr>
        <w:t xml:space="preserve">For the Geologist / Service Provider</w:t>
      </w:r>
    </w:p>
    <w:p>
      <w:pPr>
        <w:pStyle w:val="BodyText"/>
      </w:pPr>
      <w:r>
        <w:t xml:space="preserve">Dr. Amir Hosseini</w:t>
      </w:r>
      <w:r>
        <w:br/>
      </w:r>
      <w:r>
        <w:t xml:space="preserve">Tehran Geological Consulting Group</w:t>
      </w:r>
    </w:p>
    <w:p>
      <w:pPr>
        <w:pStyle w:val="BodyText"/>
      </w:pPr>
      <w:r>
        <w:t xml:space="preserve">Signature &amp; Date</w:t>
      </w:r>
    </w:p>
    <w:p>
      <w:pPr>
        <w:pStyle w:val="BodyText"/>
      </w:pPr>
      <w:r>
        <w:rPr>
          <w:bCs/>
          <w:b/>
        </w:rPr>
        <w:t xml:space="preserve">For the Client</w:t>
      </w:r>
    </w:p>
    <w:p>
      <w:pPr>
        <w:pStyle w:val="BodyText"/>
      </w:pPr>
      <w:r>
        <w:t xml:space="preserve">Tehran Metropolitan Development Authority</w:t>
      </w:r>
      <w:r>
        <w:br/>
      </w:r>
      <w:r>
        <w:t xml:space="preserve">Authorized Representative</w:t>
      </w:r>
    </w:p>
    <w:p>
      <w:pPr>
        <w:pStyle w:val="BodyText"/>
      </w:pPr>
      <w:r>
        <w:t xml:space="preserve">Signature &amp; Date</w:t>
      </w:r>
    </w:p>
    <w:p>
      <w:pPr>
        <w:pStyle w:val="BodyText"/>
      </w:pPr>
      <w:r>
        <w:t xml:space="preserve">Quotation Estimate No. QTE-GEOL-2025-0472 | Issued in Tehran, Iran | Page 1 of 1</w:t>
      </w:r>
    </w:p>
    <w:p>
      <w:pPr>
        <w:pStyle w:val="BodyText"/>
      </w:pPr>
      <w:r>
        <w:t xml:space="preserve">Tehran Geological Consulting Group — Licensed Geologist Services — IGSMI Registration No. 4471-TEH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Iran Tehran</dc:title>
  <dc:creator/>
  <dc:language>en</dc:language>
  <cp:keywords/>
  <dcterms:created xsi:type="dcterms:W3CDTF">2026-10-10T01:13:33Z</dcterms:created>
  <dcterms:modified xsi:type="dcterms:W3CDTF">2026-10-10T01:13:33Z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