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Geological Services — Geologist Consultation &amp; Site Assessment</w:t>
      </w:r>
    </w:p>
    <w:p>
      <w:pPr>
        <w:pStyle w:val="BodyText"/>
      </w:pPr>
      <w:r>
        <w:rPr>
          <w:bCs/>
          <w:b/>
        </w:rPr>
        <w:t xml:space="preserve">Prepared for: Japan Osaka Region</w:t>
      </w:r>
    </w:p>
    <w:bookmarkEnd w:id="20"/>
    <w:p>
      <w:pPr>
        <w:pStyle w:val="BodyText"/>
      </w:pPr>
      <w:r>
        <w:rPr>
          <w:bCs/>
          <w:b/>
        </w:rPr>
        <w:t xml:space="preserve">Quotation No.:</w:t>
      </w:r>
      <w:r>
        <w:t xml:space="preserve"> </w:t>
      </w:r>
      <w:r>
        <w:t xml:space="preserve">QE-OSK-2025-0417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K. Tanaka, P.Geo (Principal Geologist)</w:t>
      </w:r>
    </w:p>
    <w:p>
      <w:pPr>
        <w:pStyle w:val="BodyText"/>
      </w:pPr>
      <w:r>
        <w:rPr>
          <w:bCs/>
          <w:b/>
        </w:rPr>
        <w:t xml:space="preserve">Company:</w:t>
      </w:r>
      <w:r>
        <w:t xml:space="preserve"> </w:t>
      </w:r>
      <w:r>
        <w:t xml:space="preserve">Kansai GeoConsulting Co., Ltd.</w:t>
      </w:r>
    </w:p>
    <w:p>
      <w:pPr>
        <w:pStyle w:val="BodyText"/>
      </w:pPr>
      <w:r>
        <w:rPr>
          <w:bCs/>
          <w:b/>
        </w:rPr>
        <w:t xml:space="preserve">Address:</w:t>
      </w:r>
      <w:r>
        <w:t xml:space="preserve"> </w:t>
      </w:r>
      <w:r>
        <w:t xml:space="preserve">3-12-8 Umeda, Kita-ku, Osaka 530-0001, Japan</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Osaka Metropolitan Development Authority</w:t>
            </w:r>
          </w:p>
        </w:tc>
      </w:tr>
      <w:tr>
        <w:tc>
          <w:tcPr/>
          <w:p>
            <w:pPr>
              <w:pStyle w:val="Compact"/>
              <w:jc w:val="left"/>
            </w:pPr>
            <w:r>
              <w:t xml:space="preserve">Project Location</w:t>
            </w:r>
          </w:p>
        </w:tc>
        <w:tc>
          <w:tcPr/>
          <w:p>
            <w:pPr>
              <w:pStyle w:val="Compact"/>
              <w:jc w:val="left"/>
            </w:pPr>
            <w:r>
              <w:t xml:space="preserve">Chuo-ku, Osaka, Japan (Nishinomiya Basin Corridor)</w:t>
            </w:r>
          </w:p>
        </w:tc>
      </w:tr>
      <w:tr>
        <w:tc>
          <w:tcPr/>
          <w:p>
            <w:pPr>
              <w:pStyle w:val="Compact"/>
              <w:jc w:val="left"/>
            </w:pPr>
            <w:r>
              <w:t xml:space="preserve">Project Reference</w:t>
            </w:r>
          </w:p>
        </w:tc>
        <w:tc>
          <w:tcPr/>
          <w:p>
            <w:pPr>
              <w:pStyle w:val="Compact"/>
              <w:jc w:val="left"/>
            </w:pPr>
            <w:r>
              <w:t xml:space="preserve">OMDA-2025-Geological Survey Phase II</w:t>
            </w:r>
          </w:p>
        </w:tc>
      </w:tr>
      <w:tr>
        <w:tc>
          <w:tcPr/>
          <w:p>
            <w:pPr>
              <w:pStyle w:val="Compact"/>
              <w:jc w:val="left"/>
            </w:pPr>
            <w:r>
              <w:t xml:space="preserve">Contact Person</w:t>
            </w:r>
          </w:p>
        </w:tc>
        <w:tc>
          <w:tcPr/>
          <w:p>
            <w:pPr>
              <w:pStyle w:val="Compact"/>
              <w:jc w:val="left"/>
            </w:pPr>
            <w:r>
              <w:t xml:space="preserve">Mr. Hiroshi Yamamoto, Senior Planning Director</w:t>
            </w:r>
          </w:p>
        </w:tc>
      </w:tr>
    </w:tbl>
    <w:bookmarkEnd w:id="21"/>
    <w:bookmarkStart w:id="22" w:name="X2db70bf4bec2ea86fe1f68d3a1e94ad38cdb4b7"/>
    <w:p>
      <w:pPr>
        <w:pStyle w:val="Heading2"/>
      </w:pPr>
      <w:r>
        <w:t xml:space="preserve">2. Scope of Work — Geologist Services in Japan Osaka</w:t>
      </w:r>
    </w:p>
    <w:p>
      <w:pPr>
        <w:pStyle w:val="FirstParagraph"/>
      </w:pPr>
      <w:r>
        <w:t xml:space="preserve">This</w:t>
      </w:r>
      <w:r>
        <w:t xml:space="preserve"> </w:t>
      </w:r>
      <w:r>
        <w:t xml:space="preserve">Quotation Estimate</w:t>
      </w:r>
      <w:r>
        <w:t xml:space="preserve"> </w:t>
      </w:r>
      <w:r>
        <w:t xml:space="preserve">outlines the comprehensive professional services to be rendered by a licensed</w:t>
      </w:r>
      <w:r>
        <w:t xml:space="preserve"> </w:t>
      </w:r>
      <w:r>
        <w:t xml:space="preserve">Geologist</w:t>
      </w:r>
      <w:r>
        <w:t xml:space="preserve"> </w:t>
      </w:r>
      <w:r>
        <w:t xml:space="preserve">and supporting geological team for the above-referenced project situated in the</w:t>
      </w:r>
      <w:r>
        <w:t xml:space="preserve"> </w:t>
      </w:r>
      <w:r>
        <w:t xml:space="preserve">Japan Osaka</w:t>
      </w:r>
      <w:r>
        <w:t xml:space="preserve"> </w:t>
      </w:r>
      <w:r>
        <w:t xml:space="preserve">metropolitan area. The scope encompasses the following deliverables:</w:t>
      </w:r>
    </w:p>
    <w:p>
      <w:pPr>
        <w:numPr>
          <w:ilvl w:val="0"/>
          <w:numId w:val="1001"/>
        </w:numPr>
        <w:pStyle w:val="Compact"/>
      </w:pPr>
      <w:r>
        <w:rPr>
          <w:bCs/>
          <w:b/>
        </w:rPr>
        <w:t xml:space="preserve">Geological Site Investigation:</w:t>
      </w:r>
      <w:r>
        <w:t xml:space="preserve"> </w:t>
      </w:r>
      <w:r>
        <w:t xml:space="preserve">A thorough subsurface geological survey covering a 12-hectare parcel in the Nishinomiya Basin, including borehole drilling (minimum 6 boreholes to a depth of 40 metres), standard penetration tests (SPT), and in-situ shear wave velocity measurements to characterize the alluvial and bedrock strata typical of the Osaka sedimentary basin.</w:t>
      </w:r>
    </w:p>
    <w:p>
      <w:pPr>
        <w:numPr>
          <w:ilvl w:val="0"/>
          <w:numId w:val="1001"/>
        </w:numPr>
        <w:pStyle w:val="Compact"/>
      </w:pPr>
      <w:r>
        <w:rPr>
          <w:bCs/>
          <w:b/>
        </w:rPr>
        <w:t xml:space="preserve">Seismic Hazard Assessment:</w:t>
      </w:r>
      <w:r>
        <w:t xml:space="preserve"> </w:t>
      </w:r>
      <w:r>
        <w:t xml:space="preserve">Evaluation of liquefaction potential, seismic amplification factors, and fault proximity analysis in accordance with the Japan Building Standards Act (Act No. 202 of 1950) and the Osaka Prefecture Seismic Hazard Mitigation Guidelines. The Geologist will prepare a detailed seismic microzonation map for the Japan Osaka site.</w:t>
      </w:r>
    </w:p>
    <w:p>
      <w:pPr>
        <w:numPr>
          <w:ilvl w:val="0"/>
          <w:numId w:val="1001"/>
        </w:numPr>
        <w:pStyle w:val="Compact"/>
      </w:pPr>
      <w:r>
        <w:rPr>
          <w:bCs/>
          <w:b/>
        </w:rPr>
        <w:t xml:space="preserve">Groundwater and Hydrogeological Study:</w:t>
      </w:r>
      <w:r>
        <w:t xml:space="preserve"> </w:t>
      </w:r>
      <w:r>
        <w:t xml:space="preserve">Identification of aquifer layers, groundwater flow direction, and contamination risk assessment relevant to the Japan Osaka urban development context, including compliance with the Water Environment Conservation Act.</w:t>
      </w:r>
    </w:p>
    <w:p>
      <w:pPr>
        <w:numPr>
          <w:ilvl w:val="0"/>
          <w:numId w:val="1001"/>
        </w:numPr>
        <w:pStyle w:val="Compact"/>
      </w:pPr>
      <w:r>
        <w:rPr>
          <w:bCs/>
          <w:b/>
        </w:rPr>
        <w:t xml:space="preserve">Geotechnical Design Parameters:</w:t>
      </w:r>
      <w:r>
        <w:t xml:space="preserve"> </w:t>
      </w:r>
      <w:r>
        <w:t xml:space="preserve">Provision of engineering geological parameters (cohesion, friction angle, compressibility, bearing capacity) for foundation design, retaining structures, and underground excavation planning.</w:t>
      </w:r>
    </w:p>
    <w:p>
      <w:pPr>
        <w:numPr>
          <w:ilvl w:val="0"/>
          <w:numId w:val="1001"/>
        </w:numPr>
        <w:pStyle w:val="Compact"/>
      </w:pPr>
      <w:r>
        <w:rPr>
          <w:bCs/>
          <w:b/>
        </w:rPr>
        <w:t xml:space="preserve">Regulatory Compliance Reporting:</w:t>
      </w:r>
      <w:r>
        <w:t xml:space="preserve"> </w:t>
      </w:r>
      <w:r>
        <w:t xml:space="preserve">Preparation of all mandatory geological reports required by the Osaka City Planning Bureau and the Ministry of Land, Infrastructure, Transport and Tourism (MLIT) for construction permits in Japan Osaka.</w:t>
      </w:r>
    </w:p>
    <w:p>
      <w:pPr>
        <w:numPr>
          <w:ilvl w:val="0"/>
          <w:numId w:val="1001"/>
        </w:numPr>
        <w:pStyle w:val="Compact"/>
      </w:pPr>
      <w:r>
        <w:rPr>
          <w:bCs/>
          <w:b/>
        </w:rPr>
        <w:t xml:space="preserve">On-Site Geologist Supervision:</w:t>
      </w:r>
      <w:r>
        <w:t xml:space="preserve"> </w:t>
      </w:r>
      <w:r>
        <w:t xml:space="preserve">Minimum 15 working days of on-site supervision by the Principal Geologist during the active investigation phase, including daily progress logging and real-time quality assurance of sampling procedures.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Principal Geologist Professional Fee (design, oversight, and final report authorisation)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Borehole Drilling &amp; SPT Testing (6 boreholes × 40 m)</w:t>
            </w:r>
          </w:p>
        </w:tc>
        <w:tc>
          <w:tcPr/>
          <w:p>
            <w:pPr>
              <w:pStyle w:val="Compact"/>
              <w:jc w:val="left"/>
            </w:pPr>
            <w:r>
              <w:t xml:space="preserve">Borehole</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03</w:t>
            </w:r>
          </w:p>
        </w:tc>
        <w:tc>
          <w:tcPr/>
          <w:p>
            <w:pPr>
              <w:pStyle w:val="Compact"/>
              <w:jc w:val="left"/>
            </w:pPr>
            <w:r>
              <w:t xml:space="preserve">Seismic Microzonation &amp; Liquefaction Analysis (Japan Osaka site-specific)</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04</w:t>
            </w:r>
          </w:p>
        </w:tc>
        <w:tc>
          <w:tcPr/>
          <w:p>
            <w:pPr>
              <w:pStyle w:val="Compact"/>
              <w:jc w:val="left"/>
            </w:pPr>
            <w:r>
              <w:t xml:space="preserve">Hydrogeological Investigation &amp; Groundwater Monitoring Setup</w:t>
            </w:r>
          </w:p>
        </w:tc>
        <w:tc>
          <w:tcPr/>
          <w:p>
            <w:pPr>
              <w:pStyle w:val="Compact"/>
              <w:jc w:val="left"/>
            </w:pPr>
            <w:r>
              <w:t xml:space="preserve">Lot</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Geotechnical Laboratory Testing (soil mechanics, rock core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On-Site Geologist Supervision (15 working days, Japan Osaka)</w:t>
            </w:r>
          </w:p>
        </w:tc>
        <w:tc>
          <w:tcPr/>
          <w:p>
            <w:pPr>
              <w:pStyle w:val="Compact"/>
              <w:jc w:val="left"/>
            </w:pPr>
            <w:r>
              <w:t xml:space="preserve">Day</w:t>
            </w:r>
          </w:p>
        </w:tc>
        <w:tc>
          <w:tcPr/>
          <w:p>
            <w:pPr>
              <w:pStyle w:val="Compact"/>
              <w:jc w:val="left"/>
            </w:pPr>
            <w:r>
              <w:t xml:space="preserve">15</w:t>
            </w:r>
          </w:p>
        </w:tc>
        <w:tc>
          <w:tcPr/>
          <w:p>
            <w:pPr>
              <w:pStyle w:val="Compact"/>
              <w:jc w:val="left"/>
            </w:pPr>
            <w:r>
              <w:t xml:space="preserve">58,000</w:t>
            </w:r>
          </w:p>
        </w:tc>
        <w:tc>
          <w:tcPr/>
          <w:p>
            <w:pPr>
              <w:pStyle w:val="Compact"/>
              <w:jc w:val="left"/>
            </w:pPr>
            <w:r>
              <w:t xml:space="preserve">870,000</w:t>
            </w:r>
          </w:p>
        </w:tc>
      </w:tr>
      <w:tr>
        <w:tc>
          <w:tcPr/>
          <w:p>
            <w:pPr>
              <w:pStyle w:val="Compact"/>
              <w:jc w:val="left"/>
            </w:pPr>
            <w:r>
              <w:t xml:space="preserve">07</w:t>
            </w:r>
          </w:p>
        </w:tc>
        <w:tc>
          <w:tcPr/>
          <w:p>
            <w:pPr>
              <w:pStyle w:val="Compact"/>
              <w:jc w:val="left"/>
            </w:pPr>
            <w:r>
              <w:t xml:space="preserve">Regulatory Report Preparation &amp; Submission (Osaka City, MLIT)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Travel, Accommodation &amp; Local Logistics (Japan Osaka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left"/>
            </w:pPr>
            <w:r>
              <w:t xml:space="preserve">Subtotal</w:t>
            </w:r>
          </w:p>
        </w:tc>
        <w:tc>
          <w:tcPr/>
          <w:p>
            <w:pPr>
              <w:pStyle w:val="Compact"/>
              <w:jc w:val="left"/>
            </w:pPr>
            <w:r>
              <w:t xml:space="preserve">8,240,000</w:t>
            </w:r>
          </w:p>
        </w:tc>
      </w:tr>
      <w:tr>
        <w:tc>
          <w:tcPr>
            <w:gridSpan w:val="5"/>
          </w:tcPr>
          <w:p>
            <w:pPr>
              <w:pStyle w:val="Compact"/>
              <w:jc w:val="left"/>
            </w:pPr>
            <w:r>
              <w:t xml:space="preserve">Consumption Tax (10%)</w:t>
            </w:r>
          </w:p>
        </w:tc>
        <w:tc>
          <w:tcPr/>
          <w:p>
            <w:pPr>
              <w:pStyle w:val="Compact"/>
              <w:jc w:val="left"/>
            </w:pPr>
            <w:r>
              <w:t xml:space="preserve">824,000</w:t>
            </w:r>
          </w:p>
        </w:tc>
      </w:tr>
      <w:tr>
        <w:tc>
          <w:tcPr>
            <w:gridSpan w:val="5"/>
          </w:tcPr>
          <w:p>
            <w:pPr>
              <w:pStyle w:val="Compact"/>
              <w:jc w:val="left"/>
            </w:pPr>
            <w:r>
              <w:rPr>
                <w:bCs/>
                <w:b/>
              </w:rPr>
              <w:t xml:space="preserve">TOTAL (JPY)</w:t>
            </w:r>
          </w:p>
        </w:tc>
        <w:tc>
          <w:tcPr/>
          <w:p>
            <w:pPr>
              <w:pStyle w:val="Compact"/>
              <w:jc w:val="left"/>
            </w:pPr>
            <w:r>
              <w:rPr>
                <w:bCs/>
                <w:b/>
              </w:rPr>
              <w:t xml:space="preserve">9,064,000</w:t>
            </w:r>
          </w:p>
        </w:tc>
      </w:tr>
    </w:tbl>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Desk study, site reconnaissance, and mobilisation in Japan Osaka</w:t>
            </w:r>
          </w:p>
        </w:tc>
        <w:tc>
          <w:tcPr/>
          <w:p>
            <w:pPr>
              <w:pStyle w:val="Compact"/>
              <w:jc w:val="left"/>
            </w:pPr>
            <w:r>
              <w:t xml:space="preserve">2 weeks</w:t>
            </w:r>
          </w:p>
        </w:tc>
        <w:tc>
          <w:tcPr/>
          <w:p>
            <w:pPr>
              <w:pStyle w:val="Compact"/>
              <w:jc w:val="left"/>
            </w:pPr>
            <w:r>
              <w:t xml:space="preserve">July 2025</w:t>
            </w:r>
          </w:p>
        </w:tc>
      </w:tr>
      <w:tr>
        <w:tc>
          <w:tcPr/>
          <w:p>
            <w:pPr>
              <w:pStyle w:val="Compact"/>
              <w:jc w:val="left"/>
            </w:pPr>
            <w:r>
              <w:t xml:space="preserve">Phase 2</w:t>
            </w:r>
          </w:p>
        </w:tc>
        <w:tc>
          <w:tcPr/>
          <w:p>
            <w:pPr>
              <w:pStyle w:val="Compact"/>
              <w:jc w:val="left"/>
            </w:pPr>
            <w:r>
              <w:t xml:space="preserve">Field investigation, borehole drilling, and in-situ testing</w:t>
            </w:r>
          </w:p>
        </w:tc>
        <w:tc>
          <w:tcPr/>
          <w:p>
            <w:pPr>
              <w:pStyle w:val="Compact"/>
              <w:jc w:val="left"/>
            </w:pPr>
            <w:r>
              <w:t xml:space="preserve">4 weeks</w:t>
            </w:r>
          </w:p>
        </w:tc>
        <w:tc>
          <w:tcPr/>
          <w:p>
            <w:pPr>
              <w:pStyle w:val="Compact"/>
              <w:jc w:val="left"/>
            </w:pPr>
            <w:r>
              <w:t xml:space="preserve">August 2025</w:t>
            </w:r>
          </w:p>
        </w:tc>
      </w:tr>
      <w:tr>
        <w:tc>
          <w:tcPr/>
          <w:p>
            <w:pPr>
              <w:pStyle w:val="Compact"/>
              <w:jc w:val="left"/>
            </w:pPr>
            <w:r>
              <w:t xml:space="preserve">Phase 3</w:t>
            </w:r>
          </w:p>
        </w:tc>
        <w:tc>
          <w:tcPr/>
          <w:p>
            <w:pPr>
              <w:pStyle w:val="Compact"/>
              <w:jc w:val="left"/>
            </w:pPr>
            <w:r>
              <w:t xml:space="preserve">Laboratory analysis, seismic modelling, and data interpretation</w:t>
            </w:r>
          </w:p>
        </w:tc>
        <w:tc>
          <w:tcPr/>
          <w:p>
            <w:pPr>
              <w:pStyle w:val="Compact"/>
              <w:jc w:val="left"/>
            </w:pPr>
            <w:r>
              <w:t xml:space="preserve">3 weeks</w:t>
            </w:r>
          </w:p>
        </w:tc>
        <w:tc>
          <w:tcPr/>
          <w:p>
            <w:pPr>
              <w:pStyle w:val="Compact"/>
              <w:jc w:val="left"/>
            </w:pPr>
            <w:r>
              <w:t xml:space="preserve">September 2025</w:t>
            </w:r>
          </w:p>
        </w:tc>
      </w:tr>
      <w:tr>
        <w:tc>
          <w:tcPr/>
          <w:p>
            <w:pPr>
              <w:pStyle w:val="Compact"/>
              <w:jc w:val="left"/>
            </w:pPr>
            <w:r>
              <w:t xml:space="preserve">Phase 4</w:t>
            </w:r>
          </w:p>
        </w:tc>
        <w:tc>
          <w:tcPr/>
          <w:p>
            <w:pPr>
              <w:pStyle w:val="Compact"/>
              <w:jc w:val="left"/>
            </w:pPr>
            <w:r>
              <w:t xml:space="preserve">Final Geologist report, regulatory submission, and client presentation</w:t>
            </w:r>
          </w:p>
        </w:tc>
        <w:tc>
          <w:tcPr/>
          <w:p>
            <w:pPr>
              <w:pStyle w:val="Compact"/>
              <w:jc w:val="left"/>
            </w:pPr>
            <w:r>
              <w:t xml:space="preserve">2 weeks</w:t>
            </w:r>
          </w:p>
        </w:tc>
        <w:tc>
          <w:tcPr/>
          <w:p>
            <w:pPr>
              <w:pStyle w:val="Compact"/>
              <w:jc w:val="left"/>
            </w:pPr>
            <w:r>
              <w:t xml:space="preserve">October 2025</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is subject to revision based on prevailing market rates in Japan Osaka.</w:t>
      </w:r>
    </w:p>
    <w:p>
      <w:pPr>
        <w:numPr>
          <w:ilvl w:val="0"/>
          <w:numId w:val="1002"/>
        </w:numPr>
        <w:pStyle w:val="Compact"/>
      </w:pPr>
      <w:r>
        <w:t xml:space="preserve">Payment terms: 30% advance payment upon contract execution, 40% upon completion of Phase 2 fieldwork, and 30% upon delivery and acceptance of the final Geologist report.</w:t>
      </w:r>
    </w:p>
    <w:p>
      <w:pPr>
        <w:numPr>
          <w:ilvl w:val="0"/>
          <w:numId w:val="1002"/>
        </w:numPr>
        <w:pStyle w:val="Compact"/>
      </w:pPr>
      <w:r>
        <w:t xml:space="preserve">All geological data, reports, and intellectual property generated under this engagement shall become the sole property of the Client upon full payment.</w:t>
      </w:r>
    </w:p>
    <w:p>
      <w:pPr>
        <w:numPr>
          <w:ilvl w:val="0"/>
          <w:numId w:val="1002"/>
        </w:numPr>
        <w:pStyle w:val="Compact"/>
      </w:pPr>
      <w:r>
        <w:t xml:space="preserve">The Principal Geologist and all supporting personnel shall hold valid qualifications recognised by the Japan Association of Engineering Geologists (JAEG) and comply with all applicable Japanese professional standards.</w:t>
      </w:r>
    </w:p>
    <w:p>
      <w:pPr>
        <w:numPr>
          <w:ilvl w:val="0"/>
          <w:numId w:val="1002"/>
        </w:numPr>
        <w:pStyle w:val="Compact"/>
      </w:pPr>
      <w:r>
        <w:t xml:space="preserve">Any change in scope, additional boreholes, or extended site conditions in the Japan Osaka area shall be subject to a supplementary Quotation Estimate issued prior to commencement of the additional work.</w:t>
      </w:r>
    </w:p>
    <w:p>
      <w:pPr>
        <w:numPr>
          <w:ilvl w:val="0"/>
          <w:numId w:val="1002"/>
        </w:numPr>
        <w:pStyle w:val="Compact"/>
      </w:pPr>
      <w:r>
        <w:t xml:space="preserve">Force majeure events, including but not limited to typhoons, earthquakes, or government-mandated work stoppages in Osaka, shall extend the project timeline proportionally without penalty to either party.</w:t>
      </w:r>
    </w:p>
    <w:p>
      <w:pPr>
        <w:numPr>
          <w:ilvl w:val="0"/>
          <w:numId w:val="1002"/>
        </w:numPr>
        <w:pStyle w:val="Compact"/>
      </w:pPr>
      <w:r>
        <w:t xml:space="preserve">Disputes arising from this Quotation Estimate shall be resolved through arbitration under the rules of the Japan Commercial Arbitration Association (JCAA), with the seat of arbitration in Osaka, Japan.</w:t>
      </w:r>
    </w:p>
    <w:p>
      <w:pPr>
        <w:numPr>
          <w:ilvl w:val="0"/>
          <w:numId w:val="1002"/>
        </w:numPr>
        <w:pStyle w:val="Compact"/>
      </w:pPr>
      <w:r>
        <w:t xml:space="preserve">This document constitutes a formal Quotation Estimate and does not represent a binding contract until countersigned by both parties and executed as a formal service agreement.</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accept the terms, scope, and pricing outlined in this Quotation Estimate for Geologist services to be performed in Japan Osaka.</w:t>
      </w:r>
    </w:p>
    <w:p>
      <w:pPr>
        <w:pStyle w:val="BodyText"/>
      </w:pPr>
      <w:r>
        <w:rPr>
          <w:bCs/>
          <w:b/>
        </w:rPr>
        <w:t xml:space="preserve">For: Kansai GeoConsulting Co., Ltd.</w:t>
      </w:r>
    </w:p>
    <w:p>
      <w:pPr>
        <w:pStyle w:val="BodyText"/>
      </w:pPr>
      <w:r>
        <w:t xml:space="preserve">Name: K. Tanaka, P.Geo</w:t>
      </w:r>
    </w:p>
    <w:p>
      <w:pPr>
        <w:pStyle w:val="BodyText"/>
      </w:pPr>
      <w:r>
        <w:t xml:space="preserve">Title: Principal Geologist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Osaka Metropolitan Development Authority</w:t>
      </w:r>
    </w:p>
    <w:p>
      <w:pPr>
        <w:pStyle w:val="BodyText"/>
      </w:pPr>
      <w:r>
        <w:t xml:space="preserve">Name: H. Yamamoto</w:t>
      </w:r>
    </w:p>
    <w:p>
      <w:pPr>
        <w:pStyle w:val="BodyText"/>
      </w:pPr>
      <w:r>
        <w:t xml:space="preserve">Title: Senior Planning Director</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Kansai GeoConsulting Co., Ltd. — 3-12-8 Umeda, Kita-ku, Osaka 530-0001, Japan | Tel: +81-6-6345-XXXX | Email: info@kansai-geo.jp</w:t>
      </w:r>
    </w:p>
    <w:p>
      <w:pPr>
        <w:pStyle w:val="BodyText"/>
      </w:pPr>
      <w:r>
        <w:t xml:space="preserve">This Quotation Estimate (QE-OSK-2025-0417) is issued exclusively for the Japan Osaka project referenced herein.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Japan Osaka</dc:title>
  <dc:creator/>
  <dc:language>en</dc:language>
  <cp:keywords/>
  <dcterms:created xsi:type="dcterms:W3CDTF">2026-10-10T06:24:52Z</dcterms:created>
  <dcterms:modified xsi:type="dcterms:W3CDTF">2026-10-10T06:24:52Z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