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Geological</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Miami</w:t>
      </w:r>
    </w:p>
    <w:bookmarkStart w:id="33" w:name="quotation-estimate"/>
    <w:p>
      <w:pPr>
        <w:pStyle w:val="Heading1"/>
      </w:pPr>
      <w:r>
        <w:t xml:space="preserve">QUOTATION ESTIMATE</w:t>
      </w:r>
    </w:p>
    <w:p>
      <w:pPr>
        <w:pStyle w:val="FirstParagraph"/>
      </w:pPr>
      <w:r>
        <w:t xml:space="preserve">Professional Geological Services — United States Miami, Florida</w:t>
      </w:r>
    </w:p>
    <w:bookmarkStart w:id="20" w:name="provider"/>
    <w:p>
      <w:pPr>
        <w:pStyle w:val="Heading3"/>
      </w:pPr>
      <w:r>
        <w:t xml:space="preserve">Provider</w:t>
      </w:r>
    </w:p>
    <w:p>
      <w:pPr>
        <w:pStyle w:val="FirstParagraph"/>
      </w:pPr>
      <w:r>
        <w:rPr>
          <w:bCs/>
          <w:b/>
        </w:rPr>
        <w:t xml:space="preserve">Atlantic Coastal Geoscience Group, LLC</w:t>
      </w:r>
      <w:r>
        <w:br/>
      </w:r>
      <w:r>
        <w:t xml:space="preserve">2100 Biscayne Boulevard, Suite 450</w:t>
      </w:r>
      <w:r>
        <w:br/>
      </w:r>
      <w:r>
        <w:t xml:space="preserve">Miami, FL 33137</w:t>
      </w:r>
      <w:r>
        <w:br/>
      </w:r>
      <w:r>
        <w:t xml:space="preserve">United States</w:t>
      </w:r>
      <w:r>
        <w:br/>
      </w:r>
      <w:r>
        <w:t xml:space="preserve">Phone: (305) 555-0182</w:t>
      </w:r>
      <w:r>
        <w:br/>
      </w:r>
      <w:r>
        <w:t xml:space="preserve">Email: estimates@atlanticcoastalgeo.com</w:t>
      </w:r>
      <w:r>
        <w:br/>
      </w:r>
      <w:r>
        <w:t xml:space="preserve">FL Professional License No. PG-48291</w:t>
      </w:r>
    </w:p>
    <w:bookmarkEnd w:id="20"/>
    <w:bookmarkStart w:id="21" w:name="client"/>
    <w:p>
      <w:pPr>
        <w:pStyle w:val="Heading3"/>
      </w:pPr>
      <w:r>
        <w:t xml:space="preserve">Client</w:t>
      </w:r>
    </w:p>
    <w:p>
      <w:pPr>
        <w:pStyle w:val="FirstParagraph"/>
      </w:pPr>
      <w:r>
        <w:rPr>
          <w:bCs/>
          <w:b/>
        </w:rPr>
        <w:t xml:space="preserve">Meridian Development Partners, Inc.</w:t>
      </w:r>
      <w:r>
        <w:br/>
      </w:r>
      <w:r>
        <w:t xml:space="preserve">8901 Brickell Avenue, Floor 12</w:t>
      </w:r>
      <w:r>
        <w:br/>
      </w:r>
      <w:r>
        <w:t xml:space="preserve">Miami, FL 33131</w:t>
      </w:r>
      <w:r>
        <w:br/>
      </w:r>
      <w:r>
        <w:t xml:space="preserve">United States</w:t>
      </w:r>
      <w:r>
        <w:br/>
      </w:r>
      <w:r>
        <w:t xml:space="preserve">Attn: Mr. Daniel Reyes, Project Director</w:t>
      </w:r>
      <w:r>
        <w:br/>
      </w:r>
      <w:r>
        <w:t xml:space="preserve">Phone: (305) 555-0447</w:t>
      </w:r>
      <w:r>
        <w:br/>
      </w:r>
      <w:r>
        <w:t xml:space="preserve">Email: d.reyes@meridiandev.com</w:t>
      </w:r>
    </w:p>
    <w:bookmarkEnd w:id="21"/>
    <w:p>
      <w:pPr>
        <w:pStyle w:val="BodyText"/>
      </w:pPr>
      <w:r>
        <w:rPr>
          <w:bCs/>
          <w:b/>
        </w:rPr>
        <w:t xml:space="preserve">Quotation Estimate No.:</w:t>
      </w:r>
      <w:r>
        <w:t xml:space="preserve"> </w:t>
      </w:r>
      <w:r>
        <w:t xml:space="preserve">QTE-2025-MIA-0047</w:t>
      </w:r>
    </w:p>
    <w:p>
      <w:pPr>
        <w:pStyle w:val="BodyText"/>
      </w:pPr>
      <w:r>
        <w:rPr>
          <w:bCs/>
          <w:b/>
        </w:rPr>
        <w:t xml:space="preserve">Date of Issue:</w:t>
      </w:r>
      <w:r>
        <w:t xml:space="preserve"> </w:t>
      </w:r>
      <w:r>
        <w:t xml:space="preserve">June 12, 2025</w:t>
      </w:r>
    </w:p>
    <w:p>
      <w:pPr>
        <w:pStyle w:val="BodyText"/>
      </w:pPr>
      <w:r>
        <w:rPr>
          <w:bCs/>
          <w:b/>
        </w:rPr>
        <w:t xml:space="preserve">Valid Until:</w:t>
      </w:r>
      <w:r>
        <w:t xml:space="preserve"> </w:t>
      </w:r>
      <w:r>
        <w:t xml:space="preserve">July 12, 2025 (30 calendar days)</w:t>
      </w:r>
    </w:p>
    <w:p>
      <w:pPr>
        <w:pStyle w:val="BodyText"/>
      </w:pPr>
      <w:r>
        <w:rPr>
          <w:bCs/>
          <w:b/>
        </w:rPr>
        <w:t xml:space="preserve">Project Location:</w:t>
      </w:r>
      <w:r>
        <w:t xml:space="preserve"> </w:t>
      </w:r>
      <w:r>
        <w:t xml:space="preserve">4200 NE 163rd Street, Miami, FL 33162, United States</w:t>
      </w:r>
    </w:p>
    <w:p>
      <w:pPr>
        <w:pStyle w:val="BodyText"/>
      </w:pPr>
      <w:r>
        <w:rPr>
          <w:bCs/>
          <w:b/>
        </w:rPr>
        <w:t xml:space="preserve">Prepared By:</w:t>
      </w:r>
      <w:r>
        <w:t xml:space="preserve"> </w:t>
      </w:r>
      <w:r>
        <w:t xml:space="preserve">Dr. Elena Vasquez, P.G. (Professional Geologist, State of Florida)</w:t>
      </w:r>
    </w:p>
    <w:bookmarkStart w:id="22" w:name="X0c7581080508d578c26b6d8dfd726c7e3ca5cc9"/>
    <w:p>
      <w:pPr>
        <w:pStyle w:val="Heading2"/>
      </w:pPr>
      <w:r>
        <w:t xml:space="preserve">1. Purpose and Scope of This Quotation Estimate</w:t>
      </w:r>
    </w:p>
    <w:p>
      <w:pPr>
        <w:pStyle w:val="FirstParagraph"/>
      </w:pPr>
      <w:r>
        <w:t xml:space="preserve">This Quotation Estimate is issued by Atlantic Coastal Geoscience Group, LLC in response to the formal request submitted by Meridian Development Partners, Inc. for comprehensive geological assessment services at the above-referenced property in Miami, Florida, United States. The scope of work encompasses a full geotechnical and geological investigation to support the planned construction of a 14-story mixed-use residential and commercial development. All services described herein will be performed by a licensed Professional Geologist and a qualified team of field technicians in strict compliance with the Florida Department of Environmental Protection (FDEP) regulations, the U.S. Army Corps of Engineers (USACE) guidelines, and the Miami-Dade County Building Code.</w:t>
      </w:r>
    </w:p>
    <w:bookmarkEnd w:id="22"/>
    <w:bookmarkStart w:id="27" w:name="detailed-scope-of-geological-services"/>
    <w:p>
      <w:pPr>
        <w:pStyle w:val="Heading2"/>
      </w:pPr>
      <w:r>
        <w:t xml:space="preserve">2. Detailed Scope of Geological Services</w:t>
      </w:r>
    </w:p>
    <w:p>
      <w:pPr>
        <w:pStyle w:val="FirstParagraph"/>
      </w:pPr>
      <w:r>
        <w:t xml:space="preserve">The following services constitute the complete scope of work for which this Quotation Estimate is provided. Each phase will be supervised and signed off by our lead Geologist, Dr. Elena Vasquez, who holds a Florida Professional Geologist license and over 18 years of experience in the Miami-Dade coastal and karst geology environment.</w:t>
      </w:r>
    </w:p>
    <w:bookmarkStart w:id="23" w:name="Xdbca0c51e98f4a3d978d3d57bb4054433cbbf92"/>
    <w:p>
      <w:pPr>
        <w:pStyle w:val="Heading3"/>
      </w:pPr>
      <w:r>
        <w:t xml:space="preserve">Phase I — Desktop Geologic Review and Site Reconnaissance</w:t>
      </w:r>
    </w:p>
    <w:p>
      <w:pPr>
        <w:pStyle w:val="FirstParagraph"/>
      </w:pPr>
      <w:r>
        <w:t xml:space="preserve">The Geologist will conduct a thorough review of existing U.S. Geological Survey (USGS) topographic and geologic maps, Miami-Dade County soil surveys, FEMA flood zone designations, and any prior geotechnical reports on file. A preliminary site reconnaissance will be performed to identify visible surface geologic features, including sinkhole indicators, alluvial deposits, and coastal erosion patterns characteristic of the Miami area.</w:t>
      </w:r>
    </w:p>
    <w:bookmarkEnd w:id="23"/>
    <w:bookmarkStart w:id="24" w:name="X74f7ddc08919c491bcd1ab0e7e9e61d1e498a1f"/>
    <w:p>
      <w:pPr>
        <w:pStyle w:val="Heading3"/>
      </w:pPr>
      <w:r>
        <w:t xml:space="preserve">Phase II — Field Investigation and Subsurface Sampling</w:t>
      </w:r>
    </w:p>
    <w:p>
      <w:pPr>
        <w:pStyle w:val="FirstParagraph"/>
      </w:pPr>
      <w:r>
        <w:t xml:space="preserve">A team of four field technicians, directed by the Geologist, will perform the following field activities at the United States Miami site:</w:t>
      </w:r>
    </w:p>
    <w:p>
      <w:pPr>
        <w:numPr>
          <w:ilvl w:val="0"/>
          <w:numId w:val="1001"/>
        </w:numPr>
        <w:pStyle w:val="Compact"/>
      </w:pPr>
      <w:r>
        <w:t xml:space="preserve">Drilling of 12 (twelve) boreholes to a minimum depth of 60 feet below ground surface (BGS) using a 6-inch hollow-stem auger rig.</w:t>
      </w:r>
    </w:p>
    <w:p>
      <w:pPr>
        <w:numPr>
          <w:ilvl w:val="0"/>
          <w:numId w:val="1001"/>
        </w:numPr>
        <w:pStyle w:val="Compact"/>
      </w:pPr>
      <w:r>
        <w:t xml:space="preserve">Collection of undisturbed and disturbed soil and rock samples at 5-foot intervals for laboratory analysis.</w:t>
      </w:r>
    </w:p>
    <w:p>
      <w:pPr>
        <w:numPr>
          <w:ilvl w:val="0"/>
          <w:numId w:val="1001"/>
        </w:numPr>
        <w:pStyle w:val="Compact"/>
      </w:pPr>
      <w:r>
        <w:t xml:space="preserve">Standard Penetration Tests (SPT) at each borehole location to determine soil bearing capacity and liquefaction potential.</w:t>
      </w:r>
    </w:p>
    <w:p>
      <w:pPr>
        <w:numPr>
          <w:ilvl w:val="0"/>
          <w:numId w:val="1001"/>
        </w:numPr>
        <w:pStyle w:val="Compact"/>
      </w:pPr>
      <w:r>
        <w:t xml:space="preserve">Groundwater level monitoring over a 72-hour period to establish the seasonal water table elevation, which is critical in the Miami coastal aquifer system.</w:t>
      </w:r>
    </w:p>
    <w:p>
      <w:pPr>
        <w:numPr>
          <w:ilvl w:val="0"/>
          <w:numId w:val="1001"/>
        </w:numPr>
        <w:pStyle w:val="Compact"/>
      </w:pPr>
      <w:r>
        <w:t xml:space="preserve">Identification and mapping of the Miami Oolite limestone layer, which is the primary bedrock formation in this region of the United States.</w:t>
      </w:r>
    </w:p>
    <w:bookmarkEnd w:id="24"/>
    <w:bookmarkStart w:id="25" w:name="Xdcb0bbd55a27b66a4c2c9af4a3bfadac6be04f0"/>
    <w:p>
      <w:pPr>
        <w:pStyle w:val="Heading3"/>
      </w:pPr>
      <w:r>
        <w:t xml:space="preserve">Phase III — Laboratory Testing and Analysis</w:t>
      </w:r>
    </w:p>
    <w:p>
      <w:pPr>
        <w:pStyle w:val="FirstParagraph"/>
      </w:pPr>
      <w:r>
        <w:t xml:space="preserve">All collected samples will be transported to our accredited laboratory in Miami, Florida, for the following tests: Atterberg limits, grain-size distribution, unconfined compressive strength, triaxial shear testing, California Bearing Ratio (CBR), and chemical analysis for sulfate and chloride content to assess corrosion risk to structural foundations.</w:t>
      </w:r>
    </w:p>
    <w:bookmarkEnd w:id="25"/>
    <w:bookmarkStart w:id="26" w:name="X0409dc31a4453d5fb582eb0c976a6ca9681ea0a"/>
    <w:p>
      <w:pPr>
        <w:pStyle w:val="Heading3"/>
      </w:pPr>
      <w:r>
        <w:t xml:space="preserve">Phase IV — Geologic Interpretation and Final Report</w:t>
      </w:r>
    </w:p>
    <w:p>
      <w:pPr>
        <w:pStyle w:val="FirstParagraph"/>
      </w:pPr>
      <w:r>
        <w:t xml:space="preserve">The Geologist will synthesize all field and laboratory data into a comprehensive Geologic and Geotechnical Report. This report will include stratigraphic columnar logs, geologic cross-sections, foundation recommendations, slope stability analysis, seismic site classification per the 2020 International Building Code, and a detailed assessment of karst and sinkhole risk specific to the Miami-Dade geologic setting. The final report will be delivered in both hard copy (5 copies) and digital PDF format.</w:t>
      </w:r>
    </w:p>
    <w:bookmarkEnd w:id="26"/>
    <w:bookmarkEnd w:id="27"/>
    <w:bookmarkStart w:id="28"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Rate (USD)</w:t>
            </w:r>
          </w:p>
        </w:tc>
        <w:tc>
          <w:tcPr/>
          <w:p>
            <w:pPr>
              <w:pStyle w:val="Compact"/>
              <w:jc w:val="left"/>
            </w:pPr>
            <w:r>
              <w:t xml:space="preserve">Extended Cost (USD)</w:t>
            </w:r>
          </w:p>
        </w:tc>
      </w:tr>
      <w:tr>
        <w:tc>
          <w:tcPr/>
          <w:p>
            <w:pPr>
              <w:pStyle w:val="Compact"/>
              <w:jc w:val="left"/>
            </w:pPr>
            <w:r>
              <w:t xml:space="preserve">1</w:t>
            </w:r>
          </w:p>
        </w:tc>
        <w:tc>
          <w:tcPr/>
          <w:p>
            <w:pPr>
              <w:pStyle w:val="Compact"/>
              <w:jc w:val="left"/>
            </w:pPr>
            <w:r>
              <w:t xml:space="preserve">Desktop geologic review and site reconnaissance (Geologist time)</w:t>
            </w:r>
          </w:p>
        </w:tc>
        <w:tc>
          <w:tcPr/>
          <w:p>
            <w:pPr>
              <w:pStyle w:val="Compact"/>
              <w:jc w:val="left"/>
            </w:pPr>
            <w:r>
              <w:t xml:space="preserve">1 lot</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2</w:t>
            </w:r>
          </w:p>
        </w:tc>
        <w:tc>
          <w:tcPr/>
          <w:p>
            <w:pPr>
              <w:pStyle w:val="Compact"/>
              <w:jc w:val="left"/>
            </w:pPr>
            <w:r>
              <w:t xml:space="preserve">Borehole drilling (6-inch auger, up to 60 ft BGS)</w:t>
            </w:r>
          </w:p>
        </w:tc>
        <w:tc>
          <w:tcPr/>
          <w:p>
            <w:pPr>
              <w:pStyle w:val="Compact"/>
              <w:jc w:val="left"/>
            </w:pPr>
            <w:r>
              <w:t xml:space="preserve">12 holes</w:t>
            </w:r>
          </w:p>
        </w:tc>
        <w:tc>
          <w:tcPr/>
          <w:p>
            <w:pPr>
              <w:pStyle w:val="Compact"/>
              <w:jc w:val="left"/>
            </w:pPr>
            <w:r>
              <w:t xml:space="preserve">$1,250.00</w:t>
            </w:r>
          </w:p>
        </w:tc>
        <w:tc>
          <w:tcPr/>
          <w:p>
            <w:pPr>
              <w:pStyle w:val="Compact"/>
              <w:jc w:val="left"/>
            </w:pPr>
            <w:r>
              <w:t xml:space="preserve">$15,000.00</w:t>
            </w:r>
          </w:p>
        </w:tc>
      </w:tr>
      <w:tr>
        <w:tc>
          <w:tcPr/>
          <w:p>
            <w:pPr>
              <w:pStyle w:val="Compact"/>
              <w:jc w:val="left"/>
            </w:pPr>
            <w:r>
              <w:t xml:space="preserve">3</w:t>
            </w:r>
          </w:p>
        </w:tc>
        <w:tc>
          <w:tcPr/>
          <w:p>
            <w:pPr>
              <w:pStyle w:val="Compact"/>
              <w:jc w:val="left"/>
            </w:pPr>
            <w:r>
              <w:t xml:space="preserve">Standard Penetration Test (SPT) per borehole</w:t>
            </w:r>
          </w:p>
        </w:tc>
        <w:tc>
          <w:tcPr/>
          <w:p>
            <w:pPr>
              <w:pStyle w:val="Compact"/>
              <w:jc w:val="left"/>
            </w:pPr>
            <w:r>
              <w:t xml:space="preserve">12 tests</w:t>
            </w:r>
          </w:p>
        </w:tc>
        <w:tc>
          <w:tcPr/>
          <w:p>
            <w:pPr>
              <w:pStyle w:val="Compact"/>
              <w:jc w:val="left"/>
            </w:pPr>
            <w:r>
              <w:t xml:space="preserve">$350.00</w:t>
            </w:r>
          </w:p>
        </w:tc>
        <w:tc>
          <w:tcPr/>
          <w:p>
            <w:pPr>
              <w:pStyle w:val="Compact"/>
              <w:jc w:val="left"/>
            </w:pPr>
            <w:r>
              <w:t xml:space="preserve">$4,200.00</w:t>
            </w:r>
          </w:p>
        </w:tc>
      </w:tr>
      <w:tr>
        <w:tc>
          <w:tcPr/>
          <w:p>
            <w:pPr>
              <w:pStyle w:val="Compact"/>
              <w:jc w:val="left"/>
            </w:pPr>
            <w:r>
              <w:t xml:space="preserve">4</w:t>
            </w:r>
          </w:p>
        </w:tc>
        <w:tc>
          <w:tcPr/>
          <w:p>
            <w:pPr>
              <w:pStyle w:val="Compact"/>
              <w:jc w:val="left"/>
            </w:pPr>
            <w:r>
              <w:t xml:space="preserve">Groundwater monitoring (72-hour continuous)</w:t>
            </w:r>
          </w:p>
        </w:tc>
        <w:tc>
          <w:tcPr/>
          <w:p>
            <w:pPr>
              <w:pStyle w:val="Compact"/>
              <w:jc w:val="left"/>
            </w:pPr>
            <w:r>
              <w:t xml:space="preserve">1 lot</w:t>
            </w:r>
          </w:p>
        </w:tc>
        <w:tc>
          <w:tcPr/>
          <w:p>
            <w:pPr>
              <w:pStyle w:val="Compact"/>
              <w:jc w:val="left"/>
            </w:pPr>
            <w:r>
              <w:t xml:space="preserve">$2,100.00</w:t>
            </w:r>
          </w:p>
        </w:tc>
        <w:tc>
          <w:tcPr/>
          <w:p>
            <w:pPr>
              <w:pStyle w:val="Compact"/>
              <w:jc w:val="left"/>
            </w:pPr>
            <w:r>
              <w:t xml:space="preserve">$2,100.00</w:t>
            </w:r>
          </w:p>
        </w:tc>
      </w:tr>
      <w:tr>
        <w:tc>
          <w:tcPr/>
          <w:p>
            <w:pPr>
              <w:pStyle w:val="Compact"/>
              <w:jc w:val="left"/>
            </w:pPr>
            <w:r>
              <w:t xml:space="preserve">5</w:t>
            </w:r>
          </w:p>
        </w:tc>
        <w:tc>
          <w:tcPr/>
          <w:p>
            <w:pPr>
              <w:pStyle w:val="Compact"/>
              <w:jc w:val="left"/>
            </w:pPr>
            <w:r>
              <w:t xml:space="preserve">Laboratory soil and rock testing (full suite per sample)</w:t>
            </w:r>
          </w:p>
        </w:tc>
        <w:tc>
          <w:tcPr/>
          <w:p>
            <w:pPr>
              <w:pStyle w:val="Compact"/>
              <w:jc w:val="left"/>
            </w:pPr>
            <w:r>
              <w:t xml:space="preserve">48 samples</w:t>
            </w:r>
          </w:p>
        </w:tc>
        <w:tc>
          <w:tcPr/>
          <w:p>
            <w:pPr>
              <w:pStyle w:val="Compact"/>
              <w:jc w:val="left"/>
            </w:pPr>
            <w:r>
              <w:t xml:space="preserve">$285.00</w:t>
            </w:r>
          </w:p>
        </w:tc>
        <w:tc>
          <w:tcPr/>
          <w:p>
            <w:pPr>
              <w:pStyle w:val="Compact"/>
              <w:jc w:val="left"/>
            </w:pPr>
            <w:r>
              <w:t xml:space="preserve">$13,680.00</w:t>
            </w:r>
          </w:p>
        </w:tc>
      </w:tr>
      <w:tr>
        <w:tc>
          <w:tcPr/>
          <w:p>
            <w:pPr>
              <w:pStyle w:val="Compact"/>
              <w:jc w:val="left"/>
            </w:pPr>
            <w:r>
              <w:t xml:space="preserve">6</w:t>
            </w:r>
          </w:p>
        </w:tc>
        <w:tc>
          <w:tcPr/>
          <w:p>
            <w:pPr>
              <w:pStyle w:val="Compact"/>
              <w:jc w:val="left"/>
            </w:pPr>
            <w:r>
              <w:t xml:space="preserve">Geologic interpretation, cross-sections, and final report preparation</w:t>
            </w:r>
          </w:p>
        </w:tc>
        <w:tc>
          <w:tcPr/>
          <w:p>
            <w:pPr>
              <w:pStyle w:val="Compact"/>
              <w:jc w:val="left"/>
            </w:pPr>
            <w:r>
              <w:t xml:space="preserve">1 lot</w:t>
            </w:r>
          </w:p>
        </w:tc>
        <w:tc>
          <w:tcPr/>
          <w:p>
            <w:pPr>
              <w:pStyle w:val="Compact"/>
              <w:jc w:val="left"/>
            </w:pPr>
            <w:r>
              <w:t xml:space="preserve">$7,500.00</w:t>
            </w:r>
          </w:p>
        </w:tc>
        <w:tc>
          <w:tcPr/>
          <w:p>
            <w:pPr>
              <w:pStyle w:val="Compact"/>
              <w:jc w:val="left"/>
            </w:pPr>
            <w:r>
              <w:t xml:space="preserve">$7,500.00</w:t>
            </w:r>
          </w:p>
        </w:tc>
      </w:tr>
      <w:tr>
        <w:tc>
          <w:tcPr/>
          <w:p>
            <w:pPr>
              <w:pStyle w:val="Compact"/>
              <w:jc w:val="left"/>
            </w:pPr>
            <w:r>
              <w:t xml:space="preserve">7</w:t>
            </w:r>
          </w:p>
        </w:tc>
        <w:tc>
          <w:tcPr/>
          <w:p>
            <w:pPr>
              <w:pStyle w:val="Compact"/>
              <w:jc w:val="left"/>
            </w:pPr>
            <w:r>
              <w:t xml:space="preserve">Travel, mobilization, and demobilization within Miami-Dade County</w:t>
            </w:r>
          </w:p>
        </w:tc>
        <w:tc>
          <w:tcPr/>
          <w:p>
            <w:pPr>
              <w:pStyle w:val="Compact"/>
              <w:jc w:val="left"/>
            </w:pPr>
            <w:r>
              <w:t xml:space="preserve">1 lot</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8</w:t>
            </w:r>
          </w:p>
        </w:tc>
        <w:tc>
          <w:tcPr/>
          <w:p>
            <w:pPr>
              <w:pStyle w:val="Compact"/>
              <w:jc w:val="left"/>
            </w:pPr>
            <w:r>
              <w:t xml:space="preserve">Permitting support and coordination with Miami-Dade County and USACE</w:t>
            </w:r>
          </w:p>
        </w:tc>
        <w:tc>
          <w:tcPr/>
          <w:p>
            <w:pPr>
              <w:pStyle w:val="Compact"/>
              <w:jc w:val="left"/>
            </w:pPr>
            <w:r>
              <w:t xml:space="preserve">1 lot</w:t>
            </w:r>
          </w:p>
        </w:tc>
        <w:tc>
          <w:tcPr/>
          <w:p>
            <w:pPr>
              <w:pStyle w:val="Compact"/>
              <w:jc w:val="left"/>
            </w:pPr>
            <w:r>
              <w:t xml:space="preserve">$2,400.00</w:t>
            </w:r>
          </w:p>
        </w:tc>
        <w:tc>
          <w:tcPr/>
          <w:p>
            <w:pPr>
              <w:pStyle w:val="Compact"/>
              <w:jc w:val="left"/>
            </w:pPr>
            <w:r>
              <w:t xml:space="preserve">$2,400.00</w:t>
            </w:r>
          </w:p>
        </w:tc>
      </w:tr>
      <w:tr>
        <w:tc>
          <w:tcPr/>
          <w:p>
            <w:pPr>
              <w:pStyle w:val="Compact"/>
              <w:jc w:val="left"/>
            </w:pPr>
            <w:r>
              <w:t xml:space="preserve">9</w:t>
            </w:r>
          </w:p>
        </w:tc>
        <w:tc>
          <w:tcPr/>
          <w:p>
            <w:pPr>
              <w:pStyle w:val="Compact"/>
              <w:jc w:val="left"/>
            </w:pPr>
            <w:r>
              <w:t xml:space="preserve">Project management and Geologist on-site supervision (all phases)</w:t>
            </w:r>
          </w:p>
        </w:tc>
        <w:tc>
          <w:tcPr/>
          <w:p>
            <w:pPr>
              <w:pStyle w:val="Compact"/>
              <w:jc w:val="left"/>
            </w:pPr>
            <w:r>
              <w:t xml:space="preserve">1 lot</w:t>
            </w:r>
          </w:p>
        </w:tc>
        <w:tc>
          <w:tcPr/>
          <w:p>
            <w:pPr>
              <w:pStyle w:val="Compact"/>
              <w:jc w:val="left"/>
            </w:pPr>
            <w:r>
              <w:t xml:space="preserve">$5,200.00</w:t>
            </w:r>
          </w:p>
        </w:tc>
        <w:tc>
          <w:tcPr/>
          <w:p>
            <w:pPr>
              <w:pStyle w:val="Compact"/>
              <w:jc w:val="left"/>
            </w:pPr>
            <w:r>
              <w:t xml:space="preserve">$5,200.00</w:t>
            </w:r>
          </w:p>
        </w:tc>
      </w:tr>
      <w:tr>
        <w:tc>
          <w:tcPr>
            <w:gridSpan w:val="4"/>
          </w:tcPr>
          <w:p>
            <w:pPr>
              <w:pStyle w:val="Compact"/>
              <w:jc w:val="left"/>
            </w:pPr>
            <w:r>
              <w:t xml:space="preserve">Subtotal</w:t>
            </w:r>
          </w:p>
        </w:tc>
        <w:tc>
          <w:tcPr/>
          <w:p>
            <w:pPr>
              <w:pStyle w:val="Compact"/>
              <w:jc w:val="left"/>
            </w:pPr>
            <w:r>
              <w:t xml:space="preserve">$56,680.00</w:t>
            </w:r>
          </w:p>
        </w:tc>
      </w:tr>
      <w:tr>
        <w:tc>
          <w:tcPr>
            <w:gridSpan w:val="4"/>
          </w:tcPr>
          <w:p>
            <w:pPr>
              <w:pStyle w:val="Compact"/>
              <w:jc w:val="left"/>
            </w:pPr>
            <w:r>
              <w:t xml:space="preserve">Florida Sales Tax (7.0%)</w:t>
            </w:r>
          </w:p>
        </w:tc>
        <w:tc>
          <w:tcPr/>
          <w:p>
            <w:pPr>
              <w:pStyle w:val="Compact"/>
              <w:jc w:val="left"/>
            </w:pPr>
            <w:r>
              <w:t xml:space="preserve">$3,967.60</w:t>
            </w:r>
          </w:p>
        </w:tc>
      </w:tr>
      <w:tr>
        <w:tc>
          <w:tcPr>
            <w:gridSpan w:val="4"/>
          </w:tcPr>
          <w:p>
            <w:pPr>
              <w:pStyle w:val="Compact"/>
              <w:jc w:val="left"/>
            </w:pPr>
            <w:r>
              <w:rPr>
                <w:bCs/>
                <w:b/>
              </w:rPr>
              <w:t xml:space="preserve">TOTAL ESTIMATED COST (USD)</w:t>
            </w:r>
          </w:p>
        </w:tc>
        <w:tc>
          <w:tcPr/>
          <w:p>
            <w:pPr>
              <w:pStyle w:val="Compact"/>
              <w:jc w:val="left"/>
            </w:pPr>
            <w:r>
              <w:rPr>
                <w:bCs/>
                <w:b/>
              </w:rPr>
              <w:t xml:space="preserve">$60,647.60</w:t>
            </w:r>
          </w:p>
        </w:tc>
      </w:tr>
    </w:tbl>
    <w:bookmarkEnd w:id="28"/>
    <w:bookmarkStart w:id="29" w:name="payment-terms"/>
    <w:p>
      <w:pPr>
        <w:pStyle w:val="Heading2"/>
      </w:pPr>
      <w:r>
        <w:t xml:space="preserve">4. Payment Terms</w:t>
      </w:r>
    </w:p>
    <w:p>
      <w:pPr>
        <w:pStyle w:val="FirstParagraph"/>
      </w:pPr>
      <w:r>
        <w:t xml:space="preserve">Payment for the services outlined in this Quotation Estimate shall be made as follows: 30% upon execution of the contract, 40% upon completion of Phase II field investigation, and the remaining 30% upon delivery and acceptance of the final Geologic Report. All payments are due within 21 days of invoice date. Late payments shall accrue interest at a rate of 1.5% per month. Payment shall be made via wire transfer or certified check to Atlantic Coastal Geoscience Group, LLC, Miami, Florida, United States.</w:t>
      </w:r>
    </w:p>
    <w:bookmarkEnd w:id="29"/>
    <w:bookmarkStart w:id="30" w:name="project-timeline"/>
    <w:p>
      <w:pPr>
        <w:pStyle w:val="Heading2"/>
      </w:pPr>
      <w:r>
        <w:t xml:space="preserve">5. Project Timeline</w:t>
      </w:r>
    </w:p>
    <w:p>
      <w:pPr>
        <w:pStyle w:val="FirstParagraph"/>
      </w:pPr>
      <w:r>
        <w:t xml:space="preserve">Subject to favorable weather conditions and client access to the site, the entire scope of work is estimated to be completed within 10 to 12 weeks from the date of contract execution. The Geologist will provide weekly progress updates to the client's project director throughout the duration of the engagement.</w:t>
      </w:r>
    </w:p>
    <w:bookmarkEnd w:id="30"/>
    <w:bookmarkStart w:id="31" w:name="terms-and-conditions"/>
    <w:p>
      <w:pPr>
        <w:pStyle w:val="Heading2"/>
      </w:pPr>
      <w:r>
        <w:t xml:space="preserve">6. Terms and Conditions</w:t>
      </w:r>
    </w:p>
    <w:p>
      <w:pPr>
        <w:numPr>
          <w:ilvl w:val="0"/>
          <w:numId w:val="1002"/>
        </w:numPr>
        <w:pStyle w:val="Compact"/>
      </w:pPr>
      <w:r>
        <w:t xml:space="preserve">This Quotation Estimate is valid for 30 calendar days from the date of issue. After this period, pricing may be subject to revision due to changes in material costs, labor rates, or regulatory requirements in the United States.</w:t>
      </w:r>
    </w:p>
    <w:p>
      <w:pPr>
        <w:numPr>
          <w:ilvl w:val="0"/>
          <w:numId w:val="1002"/>
        </w:numPr>
        <w:pStyle w:val="Compact"/>
      </w:pPr>
      <w:r>
        <w:t xml:space="preserve">All geological services will be performed in accordance with the standards of the American Society for Testing and Materials (ASTM) and the Florida Department of Environmental Protection.</w:t>
      </w:r>
    </w:p>
    <w:p>
      <w:pPr>
        <w:numPr>
          <w:ilvl w:val="0"/>
          <w:numId w:val="1002"/>
        </w:numPr>
        <w:pStyle w:val="Compact"/>
      </w:pPr>
      <w:r>
        <w:t xml:space="preserve">The Geologist and all field personnel shall carry full professional liability insurance with a minimum coverage of $2,000,000 per occurrence.</w:t>
      </w:r>
    </w:p>
    <w:p>
      <w:pPr>
        <w:numPr>
          <w:ilvl w:val="0"/>
          <w:numId w:val="1002"/>
        </w:numPr>
        <w:pStyle w:val="Compact"/>
      </w:pPr>
      <w:r>
        <w:t xml:space="preserve">Any work outside the scope defined in this Quotation Estimate will be subject to a separate written change order and additional cost estimate.</w:t>
      </w:r>
    </w:p>
    <w:p>
      <w:pPr>
        <w:numPr>
          <w:ilvl w:val="0"/>
          <w:numId w:val="1002"/>
        </w:numPr>
        <w:pStyle w:val="Compact"/>
      </w:pPr>
      <w:r>
        <w:t xml:space="preserve">This Quotation Estimate does not constitute a binding contract until both parties have executed a formal Service Agreement incorporating these terms.</w:t>
      </w:r>
    </w:p>
    <w:p>
      <w:pPr>
        <w:numPr>
          <w:ilvl w:val="0"/>
          <w:numId w:val="1002"/>
        </w:numPr>
        <w:pStyle w:val="Compact"/>
      </w:pPr>
      <w:r>
        <w:t xml:space="preserve">All data, reports, and deliverables produced under this engagement shall remain the intellectual property of the client upon full payment.</w:t>
      </w:r>
    </w:p>
    <w:bookmarkEnd w:id="31"/>
    <w:bookmarkStart w:id="32" w:name="acceptance-and-authorization"/>
    <w:p>
      <w:pPr>
        <w:pStyle w:val="Heading2"/>
      </w:pPr>
      <w:r>
        <w:t xml:space="preserve">7. Acceptance and Authorization</w:t>
      </w:r>
    </w:p>
    <w:p>
      <w:pPr>
        <w:pStyle w:val="FirstParagraph"/>
      </w:pPr>
      <w:r>
        <w:t xml:space="preserve">By signing below, the client acknowledges receipt of this Quotation Estimate and agrees to the terms, conditions, and pricing outlined herein for the geological services to be performed in Miami, Florida, United States. This signature authorizes Atlantic Coastal Geoscience Group, LLC to proceed with the engagement upon execution of the formal Service Agreement.</w:t>
      </w:r>
    </w:p>
    <w:p>
      <w:pPr>
        <w:pStyle w:val="BodyText"/>
      </w:pPr>
      <w:r>
        <w:rPr>
          <w:bCs/>
          <w:b/>
        </w:rPr>
        <w:t xml:space="preserve">For Atlantic Coastal Geoscience Group, LLC</w:t>
      </w:r>
    </w:p>
    <w:p>
      <w:pPr>
        <w:pStyle w:val="BodyText"/>
      </w:pPr>
      <w:r>
        <w:t xml:space="preserve">Dr. Elena Vasquez, P.G.</w:t>
      </w:r>
      <w:r>
        <w:br/>
      </w:r>
      <w:r>
        <w:t xml:space="preserve">Professional Geologist — Lead Consultant</w:t>
      </w:r>
    </w:p>
    <w:p>
      <w:pPr>
        <w:pStyle w:val="BodyText"/>
      </w:pPr>
      <w:r>
        <w:t xml:space="preserve">Date: ____________________</w:t>
      </w:r>
    </w:p>
    <w:p>
      <w:pPr>
        <w:pStyle w:val="BodyText"/>
      </w:pPr>
      <w:r>
        <w:rPr>
          <w:bCs/>
          <w:b/>
        </w:rPr>
        <w:t xml:space="preserve">For Meridian Development Partners, Inc.</w:t>
      </w:r>
    </w:p>
    <w:p>
      <w:pPr>
        <w:pStyle w:val="BodyText"/>
      </w:pPr>
      <w:r>
        <w:t xml:space="preserve">Daniel Reyes</w:t>
      </w:r>
      <w:r>
        <w:br/>
      </w:r>
      <w:r>
        <w:t xml:space="preserve">Project Director</w:t>
      </w:r>
    </w:p>
    <w:p>
      <w:pPr>
        <w:pStyle w:val="BodyText"/>
      </w:pPr>
      <w:r>
        <w:t xml:space="preserve">Date: ____________________</w:t>
      </w:r>
    </w:p>
    <w:p>
      <w:pPr>
        <w:pStyle w:val="BodyText"/>
      </w:pPr>
      <w:r>
        <w:t xml:space="preserve">Atlantic Coastal Geoscience Group, LLC — 2100 Biscayne Boulevard, Suite 450, Miami, FL 33137, United States</w:t>
      </w:r>
      <w:r>
        <w:br/>
      </w:r>
      <w:r>
        <w:t xml:space="preserve">Quotation Estimate No. QTE-2025-MIA-0047 — Page 1 of 1</w:t>
      </w:r>
      <w:r>
        <w:br/>
      </w:r>
      <w:r>
        <w:t xml:space="preserve">This document is a Quotation Estimate only and does not constitute a binding contractual obligation until a formal agreement is executed by both parties.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Geological Services - United States Miami</dc:title>
  <dc:creator/>
  <dc:language>en</dc:language>
  <cp:keywords/>
  <dcterms:created xsi:type="dcterms:W3CDTF">2026-10-10T08:45:23Z</dcterms:created>
  <dcterms:modified xsi:type="dcterms:W3CDTF">2026-10-10T08:45:23Z</dcterms:modified>
</cp:coreProperties>
</file>

<file path=docProps/custom.xml><?xml version="1.0" encoding="utf-8"?>
<Properties xmlns="http://schemas.openxmlformats.org/officeDocument/2006/custom-properties" xmlns:vt="http://schemas.openxmlformats.org/officeDocument/2006/docPropsVTypes"/>
</file>