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creative-studio-gmbh"/>
    <w:p>
      <w:pPr>
        <w:pStyle w:val="Heading1"/>
      </w:pPr>
      <w:r>
        <w:t xml:space="preserve">Frankfurt Creative Studio GmbH</w:t>
      </w:r>
    </w:p>
    <w:p>
      <w:pPr>
        <w:pStyle w:val="FirstParagraph"/>
      </w:pPr>
      <w:r>
        <w:t xml:space="preserve">Mainzer Landstraße 142, 60329 Frankfurt am Main, Germany</w:t>
      </w:r>
    </w:p>
    <w:p>
      <w:pPr>
        <w:pStyle w:val="BodyText"/>
      </w:pPr>
      <w:r>
        <w:t xml:space="preserve">Phone: +49 69 1234 5678 | Email: estimates@frankfurtcreative.de</w:t>
      </w:r>
    </w:p>
    <w:p>
      <w:pPr>
        <w:pStyle w:val="BodyText"/>
      </w:pPr>
      <w:r>
        <w:t xml:space="preserve">USt-IdNr.: DE 312 456 789 | HRB 123456, Amtsgericht Frankfurt am Main</w:t>
      </w:r>
    </w:p>
    <w:bookmarkEnd w:id="20"/>
    <w:p>
      <w:pPr>
        <w:pStyle w:val="BodyText"/>
      </w:pPr>
      <w:r>
        <w:t xml:space="preserve">Quotation Estimate</w:t>
      </w:r>
    </w:p>
    <w:p>
      <w:pPr>
        <w:pStyle w:val="BodyText"/>
      </w:pPr>
      <w:r>
        <w:t xml:space="preserve">Professional Graphic Designer Services — Germany Frankfurt</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QTE-2025-FRA-0847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Currency:</w:t>
      </w:r>
      <w:r>
        <w:t xml:space="preserve"> </w:t>
      </w:r>
      <w:r>
        <w:t xml:space="preserve">EUR (€)</w:t>
      </w:r>
    </w:p>
    <w:p>
      <w:pPr>
        <w:pStyle w:val="BodyText"/>
      </w:pPr>
      <w:r>
        <w:rPr>
          <w:bCs/>
          <w:b/>
        </w:rPr>
        <w:t xml:space="preserve">Service Location:</w:t>
      </w:r>
      <w:r>
        <w:t xml:space="preserve"> </w:t>
      </w:r>
      <w:r>
        <w:t xml:space="preserve">Germany Frankfurt</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 GmbH</w:t>
      </w:r>
    </w:p>
    <w:p>
      <w:pPr>
        <w:pStyle w:val="BodyText"/>
      </w:pPr>
      <w:r>
        <w:rPr>
          <w:bCs/>
          <w:b/>
        </w:rPr>
        <w:t xml:space="preserve">Address:</w:t>
      </w:r>
      <w:r>
        <w:t xml:space="preserve"> </w:t>
      </w:r>
      <w:r>
        <w:t xml:space="preserve">[Street, Postal Code, City], Germany</w:t>
      </w:r>
    </w:p>
    <w:p>
      <w:pPr>
        <w:pStyle w:val="BodyText"/>
      </w:pPr>
      <w:r>
        <w:rPr>
          <w:bCs/>
          <w:b/>
        </w:rPr>
        <w:t xml:space="preserve">Contact Person:</w:t>
      </w:r>
      <w:r>
        <w:t xml:space="preserve"> </w:t>
      </w:r>
      <w:r>
        <w:t xml:space="preserve">[Name, Title]</w:t>
      </w:r>
    </w:p>
    <w:p>
      <w:pPr>
        <w:pStyle w:val="BodyText"/>
      </w:pPr>
      <w:r>
        <w:rPr>
          <w:bCs/>
          <w:b/>
        </w:rPr>
        <w:t xml:space="preserve">Email:</w:t>
      </w:r>
      <w:r>
        <w:t xml:space="preserve"> </w:t>
      </w:r>
      <w:r>
        <w:t xml:space="preserve">[client@email.de]</w:t>
      </w:r>
    </w:p>
    <w:p>
      <w:pPr>
        <w:pStyle w:val="BodyText"/>
      </w:pPr>
      <w:r>
        <w:rPr>
          <w:bCs/>
          <w:b/>
        </w:rPr>
        <w:t xml:space="preserve">Phone:</w:t>
      </w:r>
      <w:r>
        <w:t xml:space="preserve"> </w:t>
      </w:r>
      <w:r>
        <w:t xml:space="preserve">[+49 ...]</w:t>
      </w:r>
    </w:p>
    <w:bookmarkEnd w:id="22"/>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Frankfurt Creative Studio GmbH to provide a comprehensive and transparent cost overview for the engagement of a senior</w:t>
      </w:r>
      <w:r>
        <w:t xml:space="preserve"> </w:t>
      </w:r>
      <w:r>
        <w:t xml:space="preserve">Graphic Designer</w:t>
      </w:r>
      <w:r>
        <w:t xml:space="preserve"> </w:t>
      </w:r>
      <w:r>
        <w:t xml:space="preserve">to deliver a full suite of visual identity and marketing materials. The services described herein will be executed in and around</w:t>
      </w:r>
      <w:r>
        <w:t xml:space="preserve"> </w:t>
      </w:r>
      <w:r>
        <w:t xml:space="preserve">Germany Frankfurt</w:t>
      </w:r>
      <w:r>
        <w:t xml:space="preserve">, leveraging the region's established creative industry infrastructure, access to premium print facilities, and proximity to major corporate headquarters.</w:t>
      </w:r>
    </w:p>
    <w:p>
      <w:pPr>
        <w:pStyle w:val="BodyText"/>
      </w:pPr>
      <w:r>
        <w:t xml:space="preserve">The</w:t>
      </w:r>
      <w:r>
        <w:t xml:space="preserve"> </w:t>
      </w:r>
      <w:r>
        <w:t xml:space="preserve">Graphic Designer</w:t>
      </w:r>
      <w:r>
        <w:t xml:space="preserve"> </w:t>
      </w:r>
      <w:r>
        <w:t xml:space="preserve">assigned to this project will operate under the direct supervision of our Frankfurt-based creative director and will be available for on-site consultations at our studio in Frankfurt am Main or at the client's premises within the Frankfurt metropolitan area. All deliverables will comply with German commercial law, DIN standards for print production, and applicable EU data protection regulations (GDPR) where client data is involved in design assets.</w:t>
      </w:r>
    </w:p>
    <w:bookmarkEnd w:id="23"/>
    <w:bookmarkStart w:id="24"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Graphic Designer Service</w:t>
            </w:r>
          </w:p>
        </w:tc>
        <w:tc>
          <w:tcPr/>
          <w:p>
            <w:pPr>
              <w:pStyle w:val="Compact"/>
              <w:jc w:val="left"/>
            </w:pPr>
            <w:r>
              <w:t xml:space="preserve">Quantity / Hours</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VAT (19%)</w:t>
            </w:r>
          </w:p>
        </w:tc>
      </w:tr>
      <w:tr>
        <w:tc>
          <w:tcPr/>
          <w:p>
            <w:pPr>
              <w:pStyle w:val="Compact"/>
              <w:jc w:val="left"/>
            </w:pPr>
            <w:r>
              <w:t xml:space="preserve">01</w:t>
            </w:r>
          </w:p>
        </w:tc>
        <w:tc>
          <w:tcPr/>
          <w:p>
            <w:pPr>
              <w:pStyle w:val="Compact"/>
              <w:jc w:val="left"/>
            </w:pPr>
            <w:r>
              <w:t xml:space="preserve">Brand Identity Development — Logo design, color palette, typography system, and brand guidelines document prepared by the assigned Graphic Designer in Germany Frankfurt</w:t>
            </w:r>
          </w:p>
        </w:tc>
        <w:tc>
          <w:tcPr/>
          <w:p>
            <w:pPr>
              <w:pStyle w:val="Compact"/>
              <w:jc w:val="left"/>
            </w:pPr>
            <w:r>
              <w:t xml:space="preserve">40 hours</w:t>
            </w:r>
          </w:p>
        </w:tc>
        <w:tc>
          <w:tcPr/>
          <w:p>
            <w:pPr>
              <w:pStyle w:val="Compact"/>
              <w:jc w:val="left"/>
            </w:pPr>
            <w:r>
              <w:t xml:space="preserve">€ 95.00</w:t>
            </w:r>
          </w:p>
        </w:tc>
        <w:tc>
          <w:tcPr/>
          <w:p>
            <w:pPr>
              <w:pStyle w:val="Compact"/>
              <w:jc w:val="left"/>
            </w:pPr>
            <w:r>
              <w:t xml:space="preserve">€ 3,800.00</w:t>
            </w:r>
          </w:p>
        </w:tc>
        <w:tc>
          <w:tcPr/>
          <w:p>
            <w:pPr>
              <w:pStyle w:val="Compact"/>
              <w:jc w:val="left"/>
            </w:pPr>
            <w:r>
              <w:t xml:space="preserve">€ 722.00</w:t>
            </w:r>
          </w:p>
        </w:tc>
      </w:tr>
      <w:tr>
        <w:tc>
          <w:tcPr/>
          <w:p>
            <w:pPr>
              <w:pStyle w:val="Compact"/>
              <w:jc w:val="left"/>
            </w:pPr>
            <w:r>
              <w:t xml:space="preserve">02</w:t>
            </w:r>
          </w:p>
        </w:tc>
        <w:tc>
          <w:tcPr/>
          <w:p>
            <w:pPr>
              <w:pStyle w:val="Compact"/>
              <w:jc w:val="left"/>
            </w:pPr>
            <w:r>
              <w:t xml:space="preserve">Corporate Stationery Design — Business cards, letterheads, envelopes, and presentation folders (print-ready files, CMYK, 300 dpi)</w:t>
            </w:r>
          </w:p>
        </w:tc>
        <w:tc>
          <w:tcPr/>
          <w:p>
            <w:pPr>
              <w:pStyle w:val="Compact"/>
              <w:jc w:val="left"/>
            </w:pPr>
            <w:r>
              <w:t xml:space="preserve">24 hours</w:t>
            </w:r>
          </w:p>
        </w:tc>
        <w:tc>
          <w:tcPr/>
          <w:p>
            <w:pPr>
              <w:pStyle w:val="Compact"/>
              <w:jc w:val="left"/>
            </w:pPr>
            <w:r>
              <w:t xml:space="preserve">€ 95.00</w:t>
            </w:r>
          </w:p>
        </w:tc>
        <w:tc>
          <w:tcPr/>
          <w:p>
            <w:pPr>
              <w:pStyle w:val="Compact"/>
              <w:jc w:val="left"/>
            </w:pPr>
            <w:r>
              <w:t xml:space="preserve">€ 2,280.00</w:t>
            </w:r>
          </w:p>
        </w:tc>
        <w:tc>
          <w:tcPr/>
          <w:p>
            <w:pPr>
              <w:pStyle w:val="Compact"/>
              <w:jc w:val="left"/>
            </w:pPr>
            <w:r>
              <w:t xml:space="preserve">€ 433.20</w:t>
            </w:r>
          </w:p>
        </w:tc>
      </w:tr>
      <w:tr>
        <w:tc>
          <w:tcPr/>
          <w:p>
            <w:pPr>
              <w:pStyle w:val="Compact"/>
              <w:jc w:val="left"/>
            </w:pPr>
            <w:r>
              <w:t xml:space="preserve">03</w:t>
            </w:r>
          </w:p>
        </w:tc>
        <w:tc>
          <w:tcPr/>
          <w:p>
            <w:pPr>
              <w:pStyle w:val="Compact"/>
              <w:jc w:val="left"/>
            </w:pPr>
            <w:r>
              <w:t xml:space="preserve">Digital Marketing Assets — Social media templates, email newsletter layouts, and web banner set (12 unique designs)</w:t>
            </w:r>
          </w:p>
        </w:tc>
        <w:tc>
          <w:tcPr/>
          <w:p>
            <w:pPr>
              <w:pStyle w:val="Compact"/>
              <w:jc w:val="left"/>
            </w:pPr>
            <w:r>
              <w:t xml:space="preserve">32 hours</w:t>
            </w:r>
          </w:p>
        </w:tc>
        <w:tc>
          <w:tcPr/>
          <w:p>
            <w:pPr>
              <w:pStyle w:val="Compact"/>
              <w:jc w:val="left"/>
            </w:pPr>
            <w:r>
              <w:t xml:space="preserve">€ 95.00</w:t>
            </w:r>
          </w:p>
        </w:tc>
        <w:tc>
          <w:tcPr/>
          <w:p>
            <w:pPr>
              <w:pStyle w:val="Compact"/>
              <w:jc w:val="left"/>
            </w:pPr>
            <w:r>
              <w:t xml:space="preserve">€ 3,040.00</w:t>
            </w:r>
          </w:p>
        </w:tc>
        <w:tc>
          <w:tcPr/>
          <w:p>
            <w:pPr>
              <w:pStyle w:val="Compact"/>
              <w:jc w:val="left"/>
            </w:pPr>
            <w:r>
              <w:t xml:space="preserve">€ 577.60</w:t>
            </w:r>
          </w:p>
        </w:tc>
      </w:tr>
      <w:tr>
        <w:tc>
          <w:tcPr/>
          <w:p>
            <w:pPr>
              <w:pStyle w:val="Compact"/>
              <w:jc w:val="left"/>
            </w:pPr>
            <w:r>
              <w:t xml:space="preserve">04</w:t>
            </w:r>
          </w:p>
        </w:tc>
        <w:tc>
          <w:tcPr/>
          <w:p>
            <w:pPr>
              <w:pStyle w:val="Compact"/>
              <w:jc w:val="left"/>
            </w:pPr>
            <w:r>
              <w:t xml:space="preserve">Print Advertising Campaign — Full-page and half-page magazine advertisements, outdoor billboard mockups, and direct mail pieces</w:t>
            </w:r>
          </w:p>
        </w:tc>
        <w:tc>
          <w:tcPr/>
          <w:p>
            <w:pPr>
              <w:pStyle w:val="Compact"/>
              <w:jc w:val="left"/>
            </w:pPr>
            <w:r>
              <w:t xml:space="preserve">28 hours</w:t>
            </w:r>
          </w:p>
        </w:tc>
        <w:tc>
          <w:tcPr/>
          <w:p>
            <w:pPr>
              <w:pStyle w:val="Compact"/>
              <w:jc w:val="left"/>
            </w:pPr>
            <w:r>
              <w:t xml:space="preserve">€ 95.00</w:t>
            </w:r>
          </w:p>
        </w:tc>
        <w:tc>
          <w:tcPr/>
          <w:p>
            <w:pPr>
              <w:pStyle w:val="Compact"/>
              <w:jc w:val="left"/>
            </w:pPr>
            <w:r>
              <w:t xml:space="preserve">€ 2,660.00</w:t>
            </w:r>
          </w:p>
        </w:tc>
        <w:tc>
          <w:tcPr/>
          <w:p>
            <w:pPr>
              <w:pStyle w:val="Compact"/>
              <w:jc w:val="left"/>
            </w:pPr>
            <w:r>
              <w:t xml:space="preserve">€ 505.40</w:t>
            </w:r>
          </w:p>
        </w:tc>
      </w:tr>
      <w:tr>
        <w:tc>
          <w:tcPr/>
          <w:p>
            <w:pPr>
              <w:pStyle w:val="Compact"/>
              <w:jc w:val="left"/>
            </w:pPr>
            <w:r>
              <w:t xml:space="preserve">05</w:t>
            </w:r>
          </w:p>
        </w:tc>
        <w:tc>
          <w:tcPr/>
          <w:p>
            <w:pPr>
              <w:pStyle w:val="Compact"/>
              <w:jc w:val="left"/>
            </w:pPr>
            <w:r>
              <w:t xml:space="preserve">Packaging and Label Design — Product packaging dielines, label artwork, and 3D rendering for client review</w:t>
            </w:r>
          </w:p>
        </w:tc>
        <w:tc>
          <w:tcPr/>
          <w:p>
            <w:pPr>
              <w:pStyle w:val="Compact"/>
              <w:jc w:val="left"/>
            </w:pPr>
            <w:r>
              <w:t xml:space="preserve">36 hours</w:t>
            </w:r>
          </w:p>
        </w:tc>
        <w:tc>
          <w:tcPr/>
          <w:p>
            <w:pPr>
              <w:pStyle w:val="Compact"/>
              <w:jc w:val="left"/>
            </w:pPr>
            <w:r>
              <w:t xml:space="preserve">€ 95.00</w:t>
            </w:r>
          </w:p>
        </w:tc>
        <w:tc>
          <w:tcPr/>
          <w:p>
            <w:pPr>
              <w:pStyle w:val="Compact"/>
              <w:jc w:val="left"/>
            </w:pPr>
            <w:r>
              <w:t xml:space="preserve">€ 3,420.00</w:t>
            </w:r>
          </w:p>
        </w:tc>
        <w:tc>
          <w:tcPr/>
          <w:p>
            <w:pPr>
              <w:pStyle w:val="Compact"/>
              <w:jc w:val="left"/>
            </w:pPr>
            <w:r>
              <w:t xml:space="preserve">€ 649.80</w:t>
            </w:r>
          </w:p>
        </w:tc>
      </w:tr>
      <w:tr>
        <w:tc>
          <w:tcPr/>
          <w:p>
            <w:pPr>
              <w:pStyle w:val="Compact"/>
              <w:jc w:val="left"/>
            </w:pPr>
            <w:r>
              <w:t xml:space="preserve">06</w:t>
            </w:r>
          </w:p>
        </w:tc>
        <w:tc>
          <w:tcPr/>
          <w:p>
            <w:pPr>
              <w:pStyle w:val="Compact"/>
              <w:jc w:val="left"/>
            </w:pPr>
            <w:r>
              <w:t xml:space="preserve">Revisions and Final File Delivery — Up to three rounds of revisions per deliverable, final source files (AI, PSD, PDF/X-4), and font licensing documentation</w:t>
            </w:r>
          </w:p>
        </w:tc>
        <w:tc>
          <w:tcPr/>
          <w:p>
            <w:pPr>
              <w:pStyle w:val="Compact"/>
              <w:jc w:val="left"/>
            </w:pPr>
            <w:r>
              <w:t xml:space="preserve">16 hours</w:t>
            </w:r>
          </w:p>
        </w:tc>
        <w:tc>
          <w:tcPr/>
          <w:p>
            <w:pPr>
              <w:pStyle w:val="Compact"/>
              <w:jc w:val="left"/>
            </w:pPr>
            <w:r>
              <w:t xml:space="preserve">€ 95.00</w:t>
            </w:r>
          </w:p>
        </w:tc>
        <w:tc>
          <w:tcPr/>
          <w:p>
            <w:pPr>
              <w:pStyle w:val="Compact"/>
              <w:jc w:val="left"/>
            </w:pPr>
            <w:r>
              <w:t xml:space="preserve">€ 1,520.00</w:t>
            </w:r>
          </w:p>
        </w:tc>
        <w:tc>
          <w:tcPr/>
          <w:p>
            <w:pPr>
              <w:pStyle w:val="Compact"/>
              <w:jc w:val="left"/>
            </w:pPr>
            <w:r>
              <w:t xml:space="preserve">€ 288.80</w:t>
            </w:r>
          </w:p>
        </w:tc>
      </w:tr>
      <w:tr>
        <w:tc>
          <w:tcPr/>
          <w:p>
            <w:pPr>
              <w:pStyle w:val="Compact"/>
              <w:jc w:val="left"/>
            </w:pPr>
            <w:r>
              <w:t xml:space="preserve">07</w:t>
            </w:r>
          </w:p>
        </w:tc>
        <w:tc>
          <w:tcPr/>
          <w:p>
            <w:pPr>
              <w:pStyle w:val="Compact"/>
              <w:jc w:val="left"/>
            </w:pPr>
            <w:r>
              <w:t xml:space="preserve">On-Site Consultation — Two half-day workshops at client premises in Germany Frankfurt for creative direction alignment</w:t>
            </w:r>
          </w:p>
        </w:tc>
        <w:tc>
          <w:tcPr/>
          <w:p>
            <w:pPr>
              <w:pStyle w:val="Compact"/>
              <w:jc w:val="left"/>
            </w:pPr>
            <w:r>
              <w:t xml:space="preserve">2 days</w:t>
            </w:r>
          </w:p>
        </w:tc>
        <w:tc>
          <w:tcPr/>
          <w:p>
            <w:pPr>
              <w:pStyle w:val="Compact"/>
              <w:jc w:val="left"/>
            </w:pPr>
            <w:r>
              <w:t xml:space="preserve">€ 650.00</w:t>
            </w:r>
          </w:p>
        </w:tc>
        <w:tc>
          <w:tcPr/>
          <w:p>
            <w:pPr>
              <w:pStyle w:val="Compact"/>
              <w:jc w:val="left"/>
            </w:pPr>
            <w:r>
              <w:t xml:space="preserve">€ 1,300.00</w:t>
            </w:r>
          </w:p>
        </w:tc>
        <w:tc>
          <w:tcPr/>
          <w:p>
            <w:pPr>
              <w:pStyle w:val="Compact"/>
              <w:jc w:val="left"/>
            </w:pPr>
            <w:r>
              <w:t xml:space="preserve">€ 247.00</w:t>
            </w:r>
          </w:p>
        </w:tc>
      </w:tr>
      <w:tr>
        <w:tc>
          <w:tcPr>
            <w:gridSpan w:val="4"/>
          </w:tcPr>
          <w:p>
            <w:pPr>
              <w:pStyle w:val="Compact"/>
              <w:jc w:val="left"/>
            </w:pPr>
            <w:r>
              <w:t xml:space="preserve">Grand Total (including 19% German VAT)</w:t>
            </w:r>
          </w:p>
        </w:tc>
        <w:tc>
          <w:tcPr/>
          <w:p>
            <w:pPr>
              <w:pStyle w:val="Compact"/>
              <w:jc w:val="left"/>
            </w:pPr>
            <w:r>
              <w:t xml:space="preserve">€ 18,020.00</w:t>
            </w:r>
          </w:p>
        </w:tc>
        <w:tc>
          <w:tcPr/>
          <w:p>
            <w:pPr>
              <w:pStyle w:val="Compact"/>
              <w:jc w:val="left"/>
            </w:pPr>
            <w:r>
              <w:t xml:space="preserve">€ 3,423.80</w:t>
            </w:r>
          </w:p>
        </w:tc>
      </w:tr>
      <w:tr>
        <w:tc>
          <w:tcPr>
            <w:gridSpan w:val="5"/>
          </w:tcPr>
          <w:p>
            <w:pPr>
              <w:pStyle w:val="Compact"/>
              <w:jc w:val="right"/>
            </w:pPr>
            <w:r>
              <w:t xml:space="preserve">TOTAL AMOUNT DUE</w:t>
            </w:r>
          </w:p>
        </w:tc>
        <w:tc>
          <w:tcPr/>
          <w:p>
            <w:pPr>
              <w:pStyle w:val="Compact"/>
              <w:jc w:val="left"/>
            </w:pPr>
            <w:r>
              <w:t xml:space="preserve">€ 21,443.80</w:t>
            </w:r>
          </w:p>
        </w:tc>
      </w:tr>
    </w:tbl>
    <w:bookmarkEnd w:id="24"/>
    <w:bookmarkStart w:id="25" w:name="project-timeline"/>
    <w:p>
      <w:pPr>
        <w:pStyle w:val="Heading2"/>
      </w:pPr>
      <w:r>
        <w:t xml:space="preserve">3. Project Timeline</w:t>
      </w:r>
    </w:p>
    <w:p>
      <w:pPr>
        <w:pStyle w:val="FirstParagraph"/>
      </w:pPr>
      <w:r>
        <w:t xml:space="preserve">The</w:t>
      </w:r>
      <w:r>
        <w:t xml:space="preserve"> </w:t>
      </w:r>
      <w:r>
        <w:t xml:space="preserve">Graphic Designer</w:t>
      </w:r>
      <w:r>
        <w:t xml:space="preserve"> </w:t>
      </w:r>
      <w:r>
        <w:t xml:space="preserve">will commence work within five (5) business days of written acceptance of this</w:t>
      </w:r>
      <w:r>
        <w:t xml:space="preserve"> </w:t>
      </w:r>
      <w:r>
        <w:t xml:space="preserve">Quotation Estimate</w:t>
      </w:r>
      <w:r>
        <w:t xml:space="preserve">. The estimated project duration is eight (8) weeks from the start date, with milestone deliverables scheduled as follows:</w:t>
      </w:r>
    </w:p>
    <w:p>
      <w:pPr>
        <w:numPr>
          <w:ilvl w:val="0"/>
          <w:numId w:val="1001"/>
        </w:numPr>
        <w:pStyle w:val="Compact"/>
      </w:pPr>
      <w:r>
        <w:rPr>
          <w:bCs/>
          <w:b/>
        </w:rPr>
        <w:t xml:space="preserve">Week 1–2:</w:t>
      </w:r>
      <w:r>
        <w:t xml:space="preserve"> </w:t>
      </w:r>
      <w:r>
        <w:t xml:space="preserve">Brand identity concepts and initial logo presentations (Germany Frankfurt studio or remote).</w:t>
      </w:r>
    </w:p>
    <w:p>
      <w:pPr>
        <w:numPr>
          <w:ilvl w:val="0"/>
          <w:numId w:val="1001"/>
        </w:numPr>
        <w:pStyle w:val="Compact"/>
      </w:pPr>
      <w:r>
        <w:rPr>
          <w:bCs/>
          <w:b/>
        </w:rPr>
        <w:t xml:space="preserve">Week 3–4:</w:t>
      </w:r>
      <w:r>
        <w:t xml:space="preserve"> </w:t>
      </w:r>
      <w:r>
        <w:t xml:space="preserve">Stationery and digital asset production; first revision cycle.</w:t>
      </w:r>
    </w:p>
    <w:p>
      <w:pPr>
        <w:numPr>
          <w:ilvl w:val="0"/>
          <w:numId w:val="1001"/>
        </w:numPr>
        <w:pStyle w:val="Compact"/>
      </w:pPr>
      <w:r>
        <w:rPr>
          <w:bCs/>
          <w:b/>
        </w:rPr>
        <w:t xml:space="preserve">Week 5–6:</w:t>
      </w:r>
      <w:r>
        <w:t xml:space="preserve"> </w:t>
      </w:r>
      <w:r>
        <w:t xml:space="preserve">Print advertising and packaging design; second revision cycle.</w:t>
      </w:r>
    </w:p>
    <w:p>
      <w:pPr>
        <w:numPr>
          <w:ilvl w:val="0"/>
          <w:numId w:val="1001"/>
        </w:numPr>
        <w:pStyle w:val="Compact"/>
      </w:pPr>
      <w:r>
        <w:rPr>
          <w:bCs/>
          <w:b/>
        </w:rPr>
        <w:t xml:space="preserve">Week 7:</w:t>
      </w:r>
      <w:r>
        <w:t xml:space="preserve"> </w:t>
      </w:r>
      <w:r>
        <w:t xml:space="preserve">Final revisions, file preparation, and 3D renderings.</w:t>
      </w:r>
    </w:p>
    <w:p>
      <w:pPr>
        <w:numPr>
          <w:ilvl w:val="0"/>
          <w:numId w:val="1001"/>
        </w:numPr>
        <w:pStyle w:val="Compact"/>
      </w:pPr>
      <w:r>
        <w:rPr>
          <w:bCs/>
          <w:b/>
        </w:rPr>
        <w:t xml:space="preserve">Week 8:</w:t>
      </w:r>
      <w:r>
        <w:t xml:space="preserve"> </w:t>
      </w:r>
      <w:r>
        <w:t xml:space="preserve">Delivery of all source files, brand guidelines PDF, and final on-site walkthrough in Frankfurt.</w:t>
      </w:r>
    </w:p>
    <w:bookmarkEnd w:id="25"/>
    <w:bookmarkStart w:id="26"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expiry, rates may be adjusted to reflect current market conditions in the Germany Frankfurt creative sector.</w:t>
      </w:r>
    </w:p>
    <w:p>
      <w:pPr>
        <w:numPr>
          <w:ilvl w:val="0"/>
          <w:numId w:val="1002"/>
        </w:numPr>
        <w:pStyle w:val="Compact"/>
      </w:pPr>
      <w:r>
        <w:t xml:space="preserve">Payment terms: 40% deposit upon acceptance, 40% upon delivery of mid-project milestones, and 20% upon final file handover. Invoices are payable within fourteen (14) days via SEPA bank transfer to our Frankfurt account.</w:t>
      </w:r>
    </w:p>
    <w:p>
      <w:pPr>
        <w:numPr>
          <w:ilvl w:val="0"/>
          <w:numId w:val="1002"/>
        </w:numPr>
        <w:pStyle w:val="Compact"/>
      </w:pPr>
      <w:r>
        <w:t xml:space="preserve">All intellectual property rights to final approved designs transfer to the client upon full payment. The</w:t>
      </w:r>
      <w:r>
        <w:t xml:space="preserve"> </w:t>
      </w:r>
      <w:r>
        <w:t xml:space="preserve">Graphic Designer</w:t>
      </w:r>
      <w:r>
        <w:t xml:space="preserve"> </w:t>
      </w:r>
      <w:r>
        <w:t xml:space="preserve">retains the right to display completed work in a professional portfolio unless a non-disclosure agreement is in place.</w:t>
      </w:r>
    </w:p>
    <w:p>
      <w:pPr>
        <w:numPr>
          <w:ilvl w:val="0"/>
          <w:numId w:val="1002"/>
        </w:numPr>
        <w:pStyle w:val="Compact"/>
      </w:pPr>
      <w:r>
        <w:t xml:space="preserve">Additional revisions beyond the three included rounds will be billed at the standard hourly rate of €95.00 plus applicable VAT.</w:t>
      </w:r>
    </w:p>
    <w:p>
      <w:pPr>
        <w:numPr>
          <w:ilvl w:val="0"/>
          <w:numId w:val="1002"/>
        </w:numPr>
        <w:pStyle w:val="Compact"/>
      </w:pPr>
      <w:r>
        <w:t xml:space="preserve">This engagement is governed by the laws of the Federal Republic of Germany. Any disputes shall be subject to the exclusive jurisdiction of the competent courts in Frankfurt am Main, Germany.</w:t>
      </w:r>
    </w:p>
    <w:p>
      <w:pPr>
        <w:numPr>
          <w:ilvl w:val="0"/>
          <w:numId w:val="1002"/>
        </w:numPr>
        <w:pStyle w:val="Compact"/>
      </w:pPr>
      <w:r>
        <w:t xml:space="preserve">Force majeure events, including but not limited to natural disasters, pandemics, or government-mandated closures affecting operations in Germany Frankfurt, may extend the project timeline without penalty to either party.</w:t>
      </w:r>
    </w:p>
    <w:p>
      <w:pPr>
        <w:numPr>
          <w:ilvl w:val="0"/>
          <w:numId w:val="1002"/>
        </w:numPr>
        <w:pStyle w:val="Compact"/>
      </w:pPr>
      <w:r>
        <w:t xml:space="preserve">All personal data processed in connection with this</w:t>
      </w:r>
      <w:r>
        <w:t xml:space="preserve"> </w:t>
      </w:r>
      <w:r>
        <w:t xml:space="preserve">Quotation Estimate</w:t>
      </w:r>
      <w:r>
        <w:t xml:space="preserve"> </w:t>
      </w:r>
      <w:r>
        <w:t xml:space="preserve">and subsequent project work will be handled in accordance with the EU General Data Protection Regulation (GDPR) and the German Federal Data Protection Act (BDSG).</w:t>
      </w:r>
    </w:p>
    <w:bookmarkEnd w:id="26"/>
    <w:bookmarkStart w:id="27"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outlined for the engagement of the</w:t>
      </w:r>
      <w:r>
        <w:t xml:space="preserve"> </w:t>
      </w:r>
      <w:r>
        <w:t xml:space="preserve">Graphic Designer</w:t>
      </w:r>
      <w:r>
        <w:t xml:space="preserve"> </w:t>
      </w:r>
      <w:r>
        <w:t xml:space="preserve">services in</w:t>
      </w:r>
      <w:r>
        <w:t xml:space="preserve"> </w:t>
      </w:r>
      <w:r>
        <w:t xml:space="preserve">Germany Frankfurt</w:t>
      </w:r>
      <w:r>
        <w:t xml:space="preserve">. This signature constitutes a binding service agreement between both parties.</w:t>
      </w:r>
    </w:p>
    <w:bookmarkEnd w:id="27"/>
    <w:p>
      <w:pPr>
        <w:pStyle w:val="BodyText"/>
      </w:pPr>
      <w:r>
        <w:rPr>
          <w:bCs/>
          <w:b/>
        </w:rPr>
        <w:t xml:space="preserve">For Frankfurt Creative Studio GmbH</w:t>
      </w:r>
    </w:p>
    <w:p>
      <w:pPr>
        <w:pStyle w:val="BodyText"/>
      </w:pPr>
      <w:r>
        <w:t xml:space="preserve">Name: ___________________________</w:t>
      </w:r>
    </w:p>
    <w:p>
      <w:pPr>
        <w:pStyle w:val="BodyText"/>
      </w:pPr>
      <w:r>
        <w:t xml:space="preserve">Title: Creative Director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_________________________</w:t>
      </w:r>
    </w:p>
    <w:p>
      <w:pPr>
        <w:pStyle w:val="BodyText"/>
      </w:pPr>
      <w:r>
        <w:t xml:space="preserve">Date: ____________________________</w:t>
      </w:r>
    </w:p>
    <w:p>
      <w:pPr>
        <w:pStyle w:val="BodyText"/>
      </w:pPr>
      <w:r>
        <w:t xml:space="preserve">Frankfurt Creative Studio GmbH — Mainzer Landstraße 142, 60329 Frankfurt am Main, Germany</w:t>
      </w:r>
    </w:p>
    <w:p>
      <w:pPr>
        <w:pStyle w:val="BodyText"/>
      </w:pPr>
      <w:r>
        <w:t xml:space="preserve">Quotation Estimate No. QTE-2025-FRA-0847 — Generated on 14 June 2025</w:t>
      </w:r>
    </w:p>
    <w:p>
      <w:pPr>
        <w:pStyle w:val="BodyText"/>
      </w:pPr>
      <w:r>
        <w:t xml:space="preserve">This document is a commercial quotation and does not constitute a final invoice. All prices are in EUR and subject to 19% German Value Added Tax (Mehrwertsteuer).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Germany Frankfurt</dc:title>
  <dc:creator/>
  <dc:language>en</dc:language>
  <cp:keywords/>
  <dcterms:created xsi:type="dcterms:W3CDTF">2026-10-10T06:48:57Z</dcterms:created>
  <dcterms:modified xsi:type="dcterms:W3CDTF">2026-10-10T06:48:57Z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