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Graphic Designer Services — Israel Jerusalem</w:t>
      </w:r>
    </w:p>
    <w:bookmarkEnd w:id="20"/>
    <w:bookmarkStart w:id="21" w:name="prepared-by"/>
    <w:p>
      <w:pPr>
        <w:pStyle w:val="Heading3"/>
      </w:pPr>
      <w:r>
        <w:t xml:space="preserve">Prepared By</w:t>
      </w:r>
    </w:p>
    <w:p>
      <w:pPr>
        <w:pStyle w:val="FirstParagraph"/>
      </w:pPr>
      <w:r>
        <w:rPr>
          <w:bCs/>
          <w:b/>
        </w:rPr>
        <w:t xml:space="preserve">Studio Levant Creative</w:t>
      </w:r>
    </w:p>
    <w:p>
      <w:pPr>
        <w:pStyle w:val="BodyText"/>
      </w:pPr>
      <w:r>
        <w:t xml:space="preserve">42 King George Street</w:t>
      </w:r>
    </w:p>
    <w:p>
      <w:pPr>
        <w:pStyle w:val="BodyText"/>
      </w:pPr>
      <w:r>
        <w:t xml:space="preserve">Jerusalem, Israel 9710000</w:t>
      </w:r>
    </w:p>
    <w:p>
      <w:pPr>
        <w:pStyle w:val="BodyText"/>
      </w:pPr>
      <w:r>
        <w:t xml:space="preserve">Tel: +972-2-555-0147</w:t>
      </w:r>
    </w:p>
    <w:p>
      <w:pPr>
        <w:pStyle w:val="BodyText"/>
      </w:pPr>
      <w:r>
        <w:t xml:space="preserve">Email: quotes@studiolevant.co.il</w:t>
      </w:r>
    </w:p>
    <w:p>
      <w:pPr>
        <w:pStyle w:val="BodyText"/>
      </w:pPr>
      <w:r>
        <w:t xml:space="preserve">VAT No: 51-234-567-8</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Israel Jerusalem</w:t>
      </w:r>
    </w:p>
    <w:p>
      <w:pPr>
        <w:pStyle w:val="BodyText"/>
      </w:pPr>
      <w:r>
        <w:rPr>
          <w:bCs/>
          <w:b/>
        </w:rPr>
        <w:t xml:space="preserve">Contact:</w:t>
      </w:r>
      <w:r>
        <w:t xml:space="preserve"> </w:t>
      </w:r>
      <w:r>
        <w:t xml:space="preserve">[Client Contact Person]</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[Client Phone]</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QE-2025-JER-0847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Project Location:</w:t>
            </w:r>
          </w:p>
        </w:tc>
        <w:tc>
          <w:tcPr/>
          <w:p>
            <w:pPr>
              <w:pStyle w:val="Compact"/>
              <w:jc w:val="left"/>
            </w:pPr>
            <w:r>
              <w:t xml:space="preserve">Israel Jerusalem</w:t>
            </w:r>
          </w:p>
        </w:tc>
      </w:tr>
      <w:tr>
        <w:tc>
          <w:tcPr/>
          <w:p>
            <w:pPr>
              <w:pStyle w:val="Compact"/>
              <w:jc w:val="left"/>
            </w:pPr>
            <w:r>
              <w:t xml:space="preserve">Service Category:</w:t>
            </w:r>
          </w:p>
        </w:tc>
        <w:tc>
          <w:tcPr/>
          <w:p>
            <w:pPr>
              <w:pStyle w:val="Compact"/>
              <w:jc w:val="left"/>
            </w:pPr>
            <w:r>
              <w:t xml:space="preserve">Graphic Designer — Full-Service Design</w:t>
            </w:r>
          </w:p>
        </w:tc>
        <w:tc>
          <w:tcPr/>
          <w:p>
            <w:pPr>
              <w:pStyle w:val="Compact"/>
              <w:jc w:val="left"/>
            </w:pPr>
            <w:r>
              <w:t xml:space="preserve">Currency:</w:t>
            </w:r>
          </w:p>
        </w:tc>
        <w:tc>
          <w:tcPr/>
          <w:p>
            <w:pPr>
              <w:pStyle w:val="Compact"/>
              <w:jc w:val="left"/>
            </w:pPr>
            <w:r>
              <w:t xml:space="preserve">Israeli New Shekel (ILS / –)</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Studio Levant Creative, a registered design firm operating in Israel Jerusalem, to provide a comprehensive and transparent breakdown of costs associated with the engagement of a professional</w:t>
      </w:r>
      <w:r>
        <w:t xml:space="preserve"> </w:t>
      </w:r>
      <w:r>
        <w:t xml:space="preserve">Graphic Designer</w:t>
      </w:r>
      <w:r>
        <w:t xml:space="preserve"> </w:t>
      </w:r>
      <w:r>
        <w:t xml:space="preserve">for the client's upcoming branding and visual communication project. This document serves as a formal proposal outlining the scope of work, deliverables, timelines, and associated fees. All pricing in this Quotation Estimate reflects current market rates for Graphic Designer services in the Israel Jerusalem metropolitan area and is subject to the terms and conditions stated herein.</w:t>
      </w:r>
    </w:p>
    <w:bookmarkEnd w:id="23"/>
    <w:bookmarkStart w:id="24" w:name="scope-of-work-graphic-designer-services"/>
    <w:p>
      <w:pPr>
        <w:pStyle w:val="Heading2"/>
      </w:pPr>
      <w:r>
        <w:t xml:space="preserve">2. Scope of Work — Graphic Designer Services</w:t>
      </w:r>
    </w:p>
    <w:p>
      <w:pPr>
        <w:pStyle w:val="FirstParagraph"/>
      </w:pPr>
      <w:r>
        <w:t xml:space="preserve">The engaged</w:t>
      </w:r>
      <w:r>
        <w:t xml:space="preserve"> </w:t>
      </w:r>
      <w:r>
        <w:t xml:space="preserve">Graphic Designer</w:t>
      </w:r>
      <w:r>
        <w:t xml:space="preserve"> </w:t>
      </w:r>
      <w:r>
        <w:t xml:space="preserve">will deliver the following services as part of this project, all to be executed with the highest professional standards expected in the Israel Jerusalem creative industry:</w:t>
      </w:r>
    </w:p>
    <w:p>
      <w:pPr>
        <w:numPr>
          <w:ilvl w:val="0"/>
          <w:numId w:val="1001"/>
        </w:numPr>
        <w:pStyle w:val="Compact"/>
      </w:pPr>
      <w:r>
        <w:rPr>
          <w:bCs/>
          <w:b/>
        </w:rPr>
        <w:t xml:space="preserve">Brand Identity Development:</w:t>
      </w:r>
      <w:r>
        <w:t xml:space="preserve"> </w:t>
      </w:r>
      <w:r>
        <w:t xml:space="preserve">Design and refinement of the client's complete visual identity, including primary and secondary logo concepts, color palette selection, typography system, and brand guidelines document. The Graphic Designer will conduct a minimum of three (3) concept presentation rounds.</w:t>
      </w:r>
    </w:p>
    <w:p>
      <w:pPr>
        <w:numPr>
          <w:ilvl w:val="0"/>
          <w:numId w:val="1001"/>
        </w:numPr>
        <w:pStyle w:val="Compact"/>
      </w:pPr>
      <w:r>
        <w:rPr>
          <w:bCs/>
          <w:b/>
        </w:rPr>
        <w:t xml:space="preserve">Print Collateral Design:</w:t>
      </w:r>
      <w:r>
        <w:t xml:space="preserve"> </w:t>
      </w:r>
      <w:r>
        <w:t xml:space="preserve">Creation of business cards, letterheads, brochures (up to 16 pages), product packaging mockups, and promotional flyers. All print-ready files will be delivered in CMYK format with 3mm bleed, suitable for local Israel Jerusalem print houses.</w:t>
      </w:r>
    </w:p>
    <w:p>
      <w:pPr>
        <w:numPr>
          <w:ilvl w:val="0"/>
          <w:numId w:val="1001"/>
        </w:numPr>
        <w:pStyle w:val="Compact"/>
      </w:pPr>
      <w:r>
        <w:rPr>
          <w:bCs/>
          <w:b/>
        </w:rPr>
        <w:t xml:space="preserve">Digital &amp; Social Media Design:</w:t>
      </w:r>
      <w:r>
        <w:t xml:space="preserve"> </w:t>
      </w:r>
      <w:r>
        <w:t xml:space="preserve">Design of social media templates (Facebook, Instagram, LinkedIn), email newsletter layouts, website hero banners, and digital ad creatives. The Graphic Designer will ensure all digital assets are optimized for web and mobile viewing.</w:t>
      </w:r>
    </w:p>
    <w:p>
      <w:pPr>
        <w:numPr>
          <w:ilvl w:val="0"/>
          <w:numId w:val="1001"/>
        </w:numPr>
        <w:pStyle w:val="Compact"/>
      </w:pPr>
      <w:r>
        <w:rPr>
          <w:bCs/>
          <w:b/>
        </w:rPr>
        <w:t xml:space="preserve">Environmental &amp; Signage Graphics:</w:t>
      </w:r>
      <w:r>
        <w:t xml:space="preserve"> </w:t>
      </w:r>
      <w:r>
        <w:t xml:space="preserve">Design of office signage, exhibition booth graphics, and large-format banners for the client's presence at trade events in Israel Jerusalem and surrounding regions.</w:t>
      </w:r>
    </w:p>
    <w:p>
      <w:pPr>
        <w:numPr>
          <w:ilvl w:val="0"/>
          <w:numId w:val="1001"/>
        </w:numPr>
        <w:pStyle w:val="Compact"/>
      </w:pPr>
      <w:r>
        <w:rPr>
          <w:bCs/>
          <w:b/>
        </w:rPr>
        <w:t xml:space="preserve">Ongoing Design Support:</w:t>
      </w:r>
      <w:r>
        <w:t xml:space="preserve"> </w:t>
      </w:r>
      <w:r>
        <w:t xml:space="preserve">A dedicated 60-hour allocation for ad-hoc design requests, revisions, and creative consultations throughout the project duration.</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Graphic Designer Service</w:t>
            </w:r>
          </w:p>
        </w:tc>
        <w:tc>
          <w:tcPr/>
          <w:p>
            <w:pPr>
              <w:pStyle w:val="Compact"/>
              <w:jc w:val="left"/>
            </w:pPr>
            <w:r>
              <w:t xml:space="preserve">Quantity / Hours</w:t>
            </w:r>
          </w:p>
        </w:tc>
        <w:tc>
          <w:tcPr/>
          <w:p>
            <w:pPr>
              <w:pStyle w:val="Compact"/>
              <w:jc w:val="left"/>
            </w:pPr>
            <w:r>
              <w:t xml:space="preserve">Unit Rate (ILS)</w:t>
            </w:r>
          </w:p>
        </w:tc>
        <w:tc>
          <w:tcPr/>
          <w:p>
            <w:pPr>
              <w:pStyle w:val="Compact"/>
              <w:jc w:val="left"/>
            </w:pPr>
            <w:r>
              <w:t xml:space="preserve">Subtotal (ILS)</w:t>
            </w:r>
          </w:p>
        </w:tc>
      </w:tr>
      <w:tr>
        <w:tc>
          <w:tcPr/>
          <w:p>
            <w:pPr>
              <w:pStyle w:val="Compact"/>
              <w:jc w:val="left"/>
            </w:pPr>
            <w:r>
              <w:t xml:space="preserve">01</w:t>
            </w:r>
          </w:p>
        </w:tc>
        <w:tc>
          <w:tcPr/>
          <w:p>
            <w:pPr>
              <w:pStyle w:val="Compact"/>
              <w:jc w:val="left"/>
            </w:pPr>
            <w:r>
              <w:t xml:space="preserve">Brand Identity Development &amp; Logo Design (Graphic Designer)</w:t>
            </w:r>
          </w:p>
        </w:tc>
        <w:tc>
          <w:tcPr/>
          <w:p>
            <w:pPr>
              <w:pStyle w:val="Compact"/>
              <w:jc w:val="left"/>
            </w:pPr>
            <w:r>
              <w:t xml:space="preserve">40 hrs</w:t>
            </w:r>
          </w:p>
        </w:tc>
        <w:tc>
          <w:tcPr/>
          <w:p>
            <w:pPr>
              <w:pStyle w:val="Compact"/>
              <w:jc w:val="left"/>
            </w:pPr>
            <w:r>
              <w:t xml:space="preserve">450</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Print Collateral Design Package</w:t>
            </w:r>
          </w:p>
        </w:tc>
        <w:tc>
          <w:tcPr/>
          <w:p>
            <w:pPr>
              <w:pStyle w:val="Compact"/>
              <w:jc w:val="left"/>
            </w:pPr>
            <w:r>
              <w:t xml:space="preserve">35 hrs</w:t>
            </w:r>
          </w:p>
        </w:tc>
        <w:tc>
          <w:tcPr/>
          <w:p>
            <w:pPr>
              <w:pStyle w:val="Compact"/>
              <w:jc w:val="left"/>
            </w:pPr>
            <w:r>
              <w:t xml:space="preserve">450</w:t>
            </w:r>
          </w:p>
        </w:tc>
        <w:tc>
          <w:tcPr/>
          <w:p>
            <w:pPr>
              <w:pStyle w:val="Compact"/>
              <w:jc w:val="left"/>
            </w:pPr>
            <w:r>
              <w:t xml:space="preserve">15,750</w:t>
            </w:r>
          </w:p>
        </w:tc>
      </w:tr>
      <w:tr>
        <w:tc>
          <w:tcPr/>
          <w:p>
            <w:pPr>
              <w:pStyle w:val="Compact"/>
              <w:jc w:val="left"/>
            </w:pPr>
            <w:r>
              <w:t xml:space="preserve">03</w:t>
            </w:r>
          </w:p>
        </w:tc>
        <w:tc>
          <w:tcPr/>
          <w:p>
            <w:pPr>
              <w:pStyle w:val="Compact"/>
              <w:jc w:val="left"/>
            </w:pPr>
            <w:r>
              <w:t xml:space="preserve">Digital &amp; Social Media Design Suite</w:t>
            </w:r>
          </w:p>
        </w:tc>
        <w:tc>
          <w:tcPr/>
          <w:p>
            <w:pPr>
              <w:pStyle w:val="Compact"/>
              <w:jc w:val="left"/>
            </w:pPr>
            <w:r>
              <w:t xml:space="preserve">30 hrs</w:t>
            </w:r>
          </w:p>
        </w:tc>
        <w:tc>
          <w:tcPr/>
          <w:p>
            <w:pPr>
              <w:pStyle w:val="Compact"/>
              <w:jc w:val="left"/>
            </w:pPr>
            <w:r>
              <w:t xml:space="preserve">450</w:t>
            </w:r>
          </w:p>
        </w:tc>
        <w:tc>
          <w:tcPr/>
          <w:p>
            <w:pPr>
              <w:pStyle w:val="Compact"/>
              <w:jc w:val="left"/>
            </w:pPr>
            <w:r>
              <w:t xml:space="preserve">13,500</w:t>
            </w:r>
          </w:p>
        </w:tc>
      </w:tr>
      <w:tr>
        <w:tc>
          <w:tcPr/>
          <w:p>
            <w:pPr>
              <w:pStyle w:val="Compact"/>
              <w:jc w:val="left"/>
            </w:pPr>
            <w:r>
              <w:t xml:space="preserve">04</w:t>
            </w:r>
          </w:p>
        </w:tc>
        <w:tc>
          <w:tcPr/>
          <w:p>
            <w:pPr>
              <w:pStyle w:val="Compact"/>
              <w:jc w:val="left"/>
            </w:pPr>
            <w:r>
              <w:t xml:space="preserve">Environmental Graphics &amp; Signage Design</w:t>
            </w:r>
          </w:p>
        </w:tc>
        <w:tc>
          <w:tcPr/>
          <w:p>
            <w:pPr>
              <w:pStyle w:val="Compact"/>
              <w:jc w:val="left"/>
            </w:pPr>
            <w:r>
              <w:t xml:space="preserve">20 hrs</w:t>
            </w:r>
          </w:p>
        </w:tc>
        <w:tc>
          <w:tcPr/>
          <w:p>
            <w:pPr>
              <w:pStyle w:val="Compact"/>
              <w:jc w:val="left"/>
            </w:pPr>
            <w:r>
              <w:t xml:space="preserve">450</w:t>
            </w:r>
          </w:p>
        </w:tc>
        <w:tc>
          <w:tcPr/>
          <w:p>
            <w:pPr>
              <w:pStyle w:val="Compact"/>
              <w:jc w:val="left"/>
            </w:pPr>
            <w:r>
              <w:t xml:space="preserve">9,000</w:t>
            </w:r>
          </w:p>
        </w:tc>
      </w:tr>
      <w:tr>
        <w:tc>
          <w:tcPr/>
          <w:p>
            <w:pPr>
              <w:pStyle w:val="Compact"/>
              <w:jc w:val="left"/>
            </w:pPr>
            <w:r>
              <w:t xml:space="preserve">05</w:t>
            </w:r>
          </w:p>
        </w:tc>
        <w:tc>
          <w:tcPr/>
          <w:p>
            <w:pPr>
              <w:pStyle w:val="Compact"/>
              <w:jc w:val="left"/>
            </w:pPr>
            <w:r>
              <w:t xml:space="preserve">Ongoing Design Support &amp; Revisions (Graphic Designer)</w:t>
            </w:r>
          </w:p>
        </w:tc>
        <w:tc>
          <w:tcPr/>
          <w:p>
            <w:pPr>
              <w:pStyle w:val="Compact"/>
              <w:jc w:val="left"/>
            </w:pPr>
            <w:r>
              <w:t xml:space="preserve">60 hrs</w:t>
            </w:r>
          </w:p>
        </w:tc>
        <w:tc>
          <w:tcPr/>
          <w:p>
            <w:pPr>
              <w:pStyle w:val="Compact"/>
              <w:jc w:val="left"/>
            </w:pPr>
            <w:r>
              <w:t xml:space="preserve">400</w:t>
            </w:r>
          </w:p>
        </w:tc>
        <w:tc>
          <w:tcPr/>
          <w:p>
            <w:pPr>
              <w:pStyle w:val="Compact"/>
              <w:jc w:val="left"/>
            </w:pPr>
            <w:r>
              <w:t xml:space="preserve">24,000</w:t>
            </w:r>
          </w:p>
        </w:tc>
      </w:tr>
      <w:tr>
        <w:tc>
          <w:tcPr/>
          <w:p>
            <w:pPr>
              <w:pStyle w:val="Compact"/>
              <w:jc w:val="left"/>
            </w:pPr>
            <w:r>
              <w:t xml:space="preserve">06</w:t>
            </w:r>
          </w:p>
        </w:tc>
        <w:tc>
          <w:tcPr/>
          <w:p>
            <w:pPr>
              <w:pStyle w:val="Compact"/>
              <w:jc w:val="left"/>
            </w:pPr>
            <w:r>
              <w:t xml:space="preserve">Project Management &amp; Client Coordination</w:t>
            </w:r>
          </w:p>
        </w:tc>
        <w:tc>
          <w:tcPr/>
          <w:p>
            <w:pPr>
              <w:pStyle w:val="Compact"/>
              <w:jc w:val="left"/>
            </w:pPr>
            <w:r>
              <w:t xml:space="preserve">15 hrs</w:t>
            </w:r>
          </w:p>
        </w:tc>
        <w:tc>
          <w:tcPr/>
          <w:p>
            <w:pPr>
              <w:pStyle w:val="Compact"/>
              <w:jc w:val="left"/>
            </w:pPr>
            <w:r>
              <w:t xml:space="preserve">350</w:t>
            </w:r>
          </w:p>
        </w:tc>
        <w:tc>
          <w:tcPr/>
          <w:p>
            <w:pPr>
              <w:pStyle w:val="Compact"/>
              <w:jc w:val="left"/>
            </w:pPr>
            <w:r>
              <w:t xml:space="preserve">5,250</w:t>
            </w:r>
          </w:p>
        </w:tc>
      </w:tr>
      <w:tr>
        <w:tc>
          <w:tcPr/>
          <w:p>
            <w:pPr>
              <w:pStyle w:val="Compact"/>
              <w:jc w:val="left"/>
            </w:pPr>
            <w:r>
              <w:t xml:space="preserve">07</w:t>
            </w:r>
          </w:p>
        </w:tc>
        <w:tc>
          <w:tcPr/>
          <w:p>
            <w:pPr>
              <w:pStyle w:val="Compact"/>
              <w:jc w:val="left"/>
            </w:pPr>
            <w:r>
              <w:t xml:space="preserve">Software Licensing &amp; Stock Asset Fees</w:t>
            </w:r>
          </w:p>
        </w:tc>
        <w:tc>
          <w:tcPr/>
          <w:p>
            <w:pPr>
              <w:pStyle w:val="Compact"/>
              <w:jc w:val="left"/>
            </w:pPr>
            <w:r>
              <w:t xml:space="preserve">Flat</w:t>
            </w:r>
          </w:p>
        </w:tc>
        <w:tc>
          <w:tcPr/>
          <w:p>
            <w:pPr>
              <w:pStyle w:val="Compact"/>
              <w:jc w:val="left"/>
            </w:pPr>
            <w:r>
              <w:t xml:space="preserve">—</w:t>
            </w:r>
          </w:p>
        </w:tc>
        <w:tc>
          <w:tcPr/>
          <w:p>
            <w:pPr>
              <w:pStyle w:val="Compact"/>
              <w:jc w:val="left"/>
            </w:pPr>
            <w:r>
              <w:t xml:space="preserve">3,500</w:t>
            </w:r>
          </w:p>
        </w:tc>
      </w:tr>
      <w:tr>
        <w:tc>
          <w:tcPr/>
          <w:p>
            <w:pPr>
              <w:pStyle w:val="Compact"/>
              <w:jc w:val="left"/>
            </w:pPr>
            <w:r>
              <w:t xml:space="preserve">08</w:t>
            </w:r>
          </w:p>
        </w:tc>
        <w:tc>
          <w:tcPr/>
          <w:p>
            <w:pPr>
              <w:pStyle w:val="Compact"/>
              <w:jc w:val="left"/>
            </w:pPr>
            <w:r>
              <w:t xml:space="preserve">Local Travel &amp; On-Site Meetings (Israel Jerusalem)</w:t>
            </w:r>
          </w:p>
        </w:tc>
        <w:tc>
          <w:tcPr/>
          <w:p>
            <w:pPr>
              <w:pStyle w:val="Compact"/>
              <w:jc w:val="left"/>
            </w:pPr>
            <w:r>
              <w:t xml:space="preserve">Flat</w:t>
            </w:r>
          </w:p>
        </w:tc>
        <w:tc>
          <w:tcPr/>
          <w:p>
            <w:pPr>
              <w:pStyle w:val="Compact"/>
              <w:jc w:val="left"/>
            </w:pPr>
            <w:r>
              <w:t xml:space="preserve">—</w:t>
            </w:r>
          </w:p>
        </w:tc>
        <w:tc>
          <w:tcPr/>
          <w:p>
            <w:pPr>
              <w:pStyle w:val="Compact"/>
              <w:jc w:val="left"/>
            </w:pPr>
            <w:r>
              <w:t xml:space="preserve">1,500</w:t>
            </w:r>
          </w:p>
        </w:tc>
      </w:tr>
      <w:tr>
        <w:tc>
          <w:tcPr>
            <w:gridSpan w:val="4"/>
          </w:tcPr>
          <w:p>
            <w:pPr>
              <w:pStyle w:val="Compact"/>
              <w:jc w:val="left"/>
            </w:pPr>
            <w:r>
              <w:t xml:space="preserve">Subtotal (Excluding VAT)</w:t>
            </w:r>
          </w:p>
        </w:tc>
        <w:tc>
          <w:tcPr/>
          <w:p>
            <w:pPr>
              <w:pStyle w:val="Compact"/>
              <w:jc w:val="left"/>
            </w:pPr>
            <w:r>
              <w:t xml:space="preserve">90,500</w:t>
            </w:r>
          </w:p>
        </w:tc>
      </w:tr>
      <w:tr>
        <w:tc>
          <w:tcPr>
            <w:gridSpan w:val="4"/>
          </w:tcPr>
          <w:p>
            <w:pPr>
              <w:pStyle w:val="Compact"/>
              <w:jc w:val="left"/>
            </w:pPr>
            <w:r>
              <w:t xml:space="preserve">VAT @ 18% (Israel)</w:t>
            </w:r>
          </w:p>
        </w:tc>
        <w:tc>
          <w:tcPr/>
          <w:p>
            <w:pPr>
              <w:pStyle w:val="Compact"/>
              <w:jc w:val="left"/>
            </w:pPr>
            <w:r>
              <w:t xml:space="preserve">16,290</w:t>
            </w:r>
          </w:p>
        </w:tc>
      </w:tr>
      <w:tr>
        <w:tc>
          <w:tcPr>
            <w:gridSpan w:val="4"/>
          </w:tcPr>
          <w:p>
            <w:pPr>
              <w:pStyle w:val="Compact"/>
              <w:jc w:val="left"/>
            </w:pPr>
            <w:r>
              <w:t xml:space="preserve">TOTAL AMOUNT DUE (ILS)</w:t>
            </w:r>
          </w:p>
        </w:tc>
        <w:tc>
          <w:tcPr/>
          <w:p>
            <w:pPr>
              <w:pStyle w:val="Compact"/>
              <w:jc w:val="left"/>
            </w:pPr>
            <w:r>
              <w:t xml:space="preserve">106,790</w:t>
            </w:r>
          </w:p>
        </w:tc>
      </w:tr>
    </w:tbl>
    <w:bookmarkEnd w:id="25"/>
    <w:bookmarkStart w:id="26" w:name="payment-terms"/>
    <w:p>
      <w:pPr>
        <w:pStyle w:val="Heading2"/>
      </w:pPr>
      <w:r>
        <w:t xml:space="preserve">4. Payment Terms</w:t>
      </w:r>
    </w:p>
    <w:p>
      <w:pPr>
        <w:pStyle w:val="FirstParagraph"/>
      </w:pPr>
      <w:r>
        <w:t xml:space="preserve">Payment for the services outlined in this Quotation Estimate shall be structured as follows:</w:t>
      </w:r>
    </w:p>
    <w:p>
      <w:pPr>
        <w:numPr>
          <w:ilvl w:val="0"/>
          <w:numId w:val="1002"/>
        </w:numPr>
        <w:pStyle w:val="Compact"/>
      </w:pPr>
      <w:r>
        <w:rPr>
          <w:bCs/>
          <w:b/>
        </w:rPr>
        <w:t xml:space="preserve">40% Advance Payment:</w:t>
      </w:r>
      <w:r>
        <w:t xml:space="preserve"> </w:t>
      </w:r>
      <w:r>
        <w:t xml:space="preserve">Due upon acceptance of this Quotation Estimate and signing of the service agreement. This secures the Graphic Designer's schedule and initiates the project.</w:t>
      </w:r>
    </w:p>
    <w:p>
      <w:pPr>
        <w:numPr>
          <w:ilvl w:val="0"/>
          <w:numId w:val="1002"/>
        </w:numPr>
        <w:pStyle w:val="Compact"/>
      </w:pPr>
      <w:r>
        <w:rPr>
          <w:bCs/>
          <w:b/>
        </w:rPr>
        <w:t xml:space="preserve">35% Milestone Payment:</w:t>
      </w:r>
      <w:r>
        <w:t xml:space="preserve"> </w:t>
      </w:r>
      <w:r>
        <w:t xml:space="preserve">Due upon delivery and client approval of the Brand Identity and Print Collateral packages.</w:t>
      </w:r>
    </w:p>
    <w:p>
      <w:pPr>
        <w:numPr>
          <w:ilvl w:val="0"/>
          <w:numId w:val="1002"/>
        </w:numPr>
        <w:pStyle w:val="Compact"/>
      </w:pPr>
      <w:r>
        <w:rPr>
          <w:bCs/>
          <w:b/>
        </w:rPr>
        <w:t xml:space="preserve">25% Final Payment:</w:t>
      </w:r>
      <w:r>
        <w:t xml:space="preserve"> </w:t>
      </w:r>
      <w:r>
        <w:t xml:space="preserve">Due upon completion of all deliverables and final handover of source files.</w:t>
      </w:r>
    </w:p>
    <w:p>
      <w:pPr>
        <w:pStyle w:val="FirstParagraph"/>
      </w:pPr>
      <w:r>
        <w:t xml:space="preserve">All payments are to be made in Israeli New Shekels (ILS) via bank transfer to the account of Studio Levant Creative, Israel Jerusalem. Late payments shall incur a monthly interest charge of 1.5% in accordance with Israeli commercial law.</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After this period, pricing may be revised to reflect changes in the Graphic Designer's availability or market conditions in Israel Jerusalem.</w:t>
      </w:r>
    </w:p>
    <w:p>
      <w:pPr>
        <w:numPr>
          <w:ilvl w:val="0"/>
          <w:numId w:val="1003"/>
        </w:numPr>
        <w:pStyle w:val="Compact"/>
      </w:pPr>
      <w:r>
        <w:t xml:space="preserve">All intellectual property rights to the final approved designs shall transfer to the client upon receipt of full payment. The Graphic Designer retains the right to display completed work in their professional portfolio.</w:t>
      </w:r>
    </w:p>
    <w:p>
      <w:pPr>
        <w:numPr>
          <w:ilvl w:val="0"/>
          <w:numId w:val="1003"/>
        </w:numPr>
        <w:pStyle w:val="Compact"/>
      </w:pPr>
      <w:r>
        <w:t xml:space="preserve">The client is entitled to two (2) rounds of revisions per deliverable at no additional cost. Additional revision rounds will be billed at the Graphic Designer's hourly rate of ILS 450 per hour.</w:t>
      </w:r>
    </w:p>
    <w:p>
      <w:pPr>
        <w:numPr>
          <w:ilvl w:val="0"/>
          <w:numId w:val="1003"/>
        </w:numPr>
        <w:pStyle w:val="Compact"/>
      </w:pPr>
      <w:r>
        <w:t xml:space="preserve">Project timelines are contingent upon timely client feedback. Delays in client responses exceeding five (5) business days will result in a proportional extension of the project schedule.</w:t>
      </w:r>
    </w:p>
    <w:p>
      <w:pPr>
        <w:numPr>
          <w:ilvl w:val="0"/>
          <w:numId w:val="1003"/>
        </w:numPr>
        <w:pStyle w:val="Compact"/>
      </w:pPr>
      <w:r>
        <w:t xml:space="preserve">This Quotation Estimate does not include third-party costs such as professional photography, video production, or translation services, which will be quoted separately if required.</w:t>
      </w:r>
    </w:p>
    <w:p>
      <w:pPr>
        <w:numPr>
          <w:ilvl w:val="0"/>
          <w:numId w:val="1003"/>
        </w:numPr>
        <w:pStyle w:val="Compact"/>
      </w:pPr>
      <w:r>
        <w:t xml:space="preserve">Any disputes arising from this Quotation Estimate shall be governed by the laws of the State of Israel, with jurisdiction vested in the courts of Israel Jerusalem.</w:t>
      </w:r>
    </w:p>
    <w:p>
      <w:pPr>
        <w:numPr>
          <w:ilvl w:val="0"/>
          <w:numId w:val="1003"/>
        </w:numPr>
        <w:pStyle w:val="Compact"/>
      </w:pPr>
      <w:r>
        <w:t xml:space="preserve">The Graphic Designer reserves the right to decline projects that conflict with existing client engagements or ethical guidelines.</w:t>
      </w:r>
    </w:p>
    <w:bookmarkEnd w:id="27"/>
    <w:bookmarkStart w:id="28" w:name="acceptance"/>
    <w:p>
      <w:pPr>
        <w:pStyle w:val="Heading2"/>
      </w:pPr>
      <w:r>
        <w:t xml:space="preserve">6. Acceptance</w:t>
      </w:r>
    </w:p>
    <w:p>
      <w:pPr>
        <w:pStyle w:val="FirstParagraph"/>
      </w:pPr>
      <w:r>
        <w:t xml:space="preserve">By signing below, both parties acknowledge that they have read, understood, and agree to the terms set forth in this Quotation Estimate. This document, once countersigned, constitutes a binding agreement for the provision of Graphic Designer services in Israel Jerusalem as described herein.</w:t>
      </w:r>
    </w:p>
    <w:p>
      <w:pPr>
        <w:pStyle w:val="BodyText"/>
      </w:pPr>
      <w:r>
        <w:rPr>
          <w:bCs/>
          <w:b/>
        </w:rPr>
        <w:t xml:space="preserve">For Studio Levant Creative (Graphic Designer)</w:t>
      </w:r>
      <w:r>
        <w:br/>
      </w:r>
      <w:r>
        <w:t xml:space="preserve">Name: _________________________</w:t>
      </w:r>
      <w:r>
        <w:br/>
      </w:r>
      <w:r>
        <w:t xml:space="preserve">Title: Lead Graphic Designer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No. QE-2025-JER-0847 | Studio Levant Creative | Israel Jerusalem | Page 1 of 1</w:t>
      </w:r>
    </w:p>
    <w:p>
      <w:pPr>
        <w:pStyle w:val="BodyText"/>
      </w:pPr>
      <w:r>
        <w:t xml:space="preserve">This Quotation Estimate was prepared exclusively for the named client and may not be reproduced or distributed without written consent.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Israel Jerusalem</dc:title>
  <dc:creator/>
  <dc:language>en</dc:language>
  <cp:keywords/>
  <dcterms:created xsi:type="dcterms:W3CDTF">2026-10-10T09:05:19Z</dcterms:created>
  <dcterms:modified xsi:type="dcterms:W3CDTF">2026-10-10T09:05:19Z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