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ixelcraft-design-studio"/>
    <w:p>
      <w:pPr>
        <w:pStyle w:val="Heading1"/>
      </w:pPr>
      <w:r>
        <w:t xml:space="preserve">PixelCraft Design Studio</w:t>
      </w:r>
    </w:p>
    <w:p>
      <w:pPr>
        <w:pStyle w:val="FirstParagraph"/>
      </w:pPr>
      <w:r>
        <w:t xml:space="preserve">Professional Graphic Design Services | Tel Aviv, Israel</w:t>
      </w:r>
    </w:p>
    <w:p>
      <w:pPr>
        <w:pStyle w:val="BodyText"/>
      </w:pPr>
      <w:r>
        <w:t xml:space="preserve">123 Dizengoff Street, Tel Aviv-Yafo, 6310000, Israel</w:t>
      </w:r>
    </w:p>
    <w:p>
      <w:pPr>
        <w:pStyle w:val="BodyText"/>
      </w:pPr>
      <w:r>
        <w:t xml:space="preserve">Tel: +972-3-555-0142 | Email: info@pixelcraft.co.il | VAT: 51-234-567-8</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QTE-2025-TLV-0487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Prepared For:</w:t>
            </w:r>
          </w:p>
        </w:tc>
        <w:tc>
          <w:tcPr/>
          <w:p>
            <w:pPr>
              <w:pStyle w:val="Compact"/>
              <w:jc w:val="left"/>
            </w:pPr>
            <w:r>
              <w:t xml:space="preserve">Mr. David Levi – Levi &amp; Associates Marketing Ltd., 45 Allenby Street, Tel Aviv, Israel</w:t>
            </w:r>
          </w:p>
        </w:tc>
      </w:tr>
      <w:tr>
        <w:tc>
          <w:tcPr/>
          <w:p>
            <w:pPr>
              <w:pStyle w:val="Compact"/>
              <w:jc w:val="left"/>
            </w:pPr>
            <w:r>
              <w:t xml:space="preserve">Prepared By:</w:t>
            </w:r>
          </w:p>
        </w:tc>
        <w:tc>
          <w:tcPr/>
          <w:p>
            <w:pPr>
              <w:pStyle w:val="Compact"/>
              <w:jc w:val="left"/>
            </w:pPr>
            <w:r>
              <w:t xml:space="preserve">Ms. Noa Shapira, Senior Graphic Designer, PixelCraft Design Studio</w:t>
            </w:r>
          </w:p>
        </w:tc>
      </w:tr>
      <w:tr>
        <w:tc>
          <w:tcPr/>
          <w:p>
            <w:pPr>
              <w:pStyle w:val="Compact"/>
              <w:jc w:val="left"/>
            </w:pPr>
            <w:r>
              <w:t xml:space="preserve">Project Reference:</w:t>
            </w:r>
          </w:p>
        </w:tc>
        <w:tc>
          <w:tcPr/>
          <w:p>
            <w:pPr>
              <w:pStyle w:val="Compact"/>
              <w:jc w:val="left"/>
            </w:pPr>
            <w:r>
              <w:t xml:space="preserve">Full Brand Identity &amp; Digital Campaign – Q3 2025</w:t>
            </w:r>
          </w:p>
        </w:tc>
      </w:tr>
    </w:tbl>
    <w:p>
      <w:pPr>
        <w:pStyle w:val="BodyText"/>
      </w:pPr>
      <w:r>
        <w:t xml:space="preserve">Dear Mr. Levi,</w:t>
      </w:r>
    </w:p>
    <w:p>
      <w:pPr>
        <w:pStyle w:val="BodyText"/>
      </w:pPr>
      <w:r>
        <w:t xml:space="preserve">Thank you for the opportunity to prepare this</w:t>
      </w:r>
      <w:r>
        <w:t xml:space="preserve"> </w:t>
      </w:r>
      <w:r>
        <w:t xml:space="preserve">Quotation Estimate</w:t>
      </w:r>
      <w:r>
        <w:t xml:space="preserve"> </w:t>
      </w:r>
      <w:r>
        <w:t xml:space="preserve">for your upcoming branding and marketing project. As a dedicated</w:t>
      </w:r>
      <w:r>
        <w:t xml:space="preserve"> </w:t>
      </w:r>
      <w:r>
        <w:t xml:space="preserve">Graphic Designer</w:t>
      </w:r>
      <w:r>
        <w:t xml:space="preserve"> </w:t>
      </w:r>
      <w:r>
        <w:t xml:space="preserve">operating in the vibrant creative hub of</w:t>
      </w:r>
      <w:r>
        <w:t xml:space="preserve"> </w:t>
      </w:r>
      <w:r>
        <w:t xml:space="preserve">Israel Tel Aviv</w:t>
      </w:r>
      <w:r>
        <w:t xml:space="preserve">, I am pleased to present the following detailed scope of work, deliverables, and associated costs. This Quotation Estimate has been carefully tailored to reflect the competitive yet high-quality standards expected of professional design services in the Tel Aviv metropolitan area.</w:t>
      </w:r>
    </w:p>
    <w:bookmarkStart w:id="21" w:name="scope-of-work-services"/>
    <w:p>
      <w:pPr>
        <w:pStyle w:val="Heading2"/>
      </w:pPr>
      <w:r>
        <w:t xml:space="preserve">1. Scope of Work &amp; Services</w:t>
      </w:r>
    </w:p>
    <w:p>
      <w:pPr>
        <w:pStyle w:val="FirstParagraph"/>
      </w:pPr>
      <w:r>
        <w:t xml:space="preserve">The following Quotation Estimate covers the complete engagement of a senior Graphic Designer for a comprehensive brand identity package and supporting digital marketing collateral. All work will be conducted in accordance with Israeli commercial design standards and will reflect the modern, innovative aesthetic characteristic of the Tel Aviv creative industry.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Brand Identity Development</w:t>
            </w:r>
          </w:p>
        </w:tc>
        <w:tc>
          <w:tcPr/>
          <w:p>
            <w:pPr>
              <w:pStyle w:val="Compact"/>
              <w:jc w:val="left"/>
            </w:pPr>
            <w:r>
              <w:t xml:space="preserve">Logo design (3 concepts), color palette, typography system, brand guidelines document (40+ pages)</w:t>
            </w:r>
          </w:p>
        </w:tc>
        <w:tc>
          <w:tcPr/>
          <w:p>
            <w:pPr>
              <w:pStyle w:val="Compact"/>
              <w:jc w:val="left"/>
            </w:pPr>
            <w:r>
              <w:t xml:space="preserve">40</w:t>
            </w:r>
          </w:p>
        </w:tc>
        <w:tc>
          <w:tcPr/>
          <w:p>
            <w:pPr>
              <w:pStyle w:val="Compact"/>
              <w:jc w:val="left"/>
            </w:pPr>
            <w:r>
              <w:t xml:space="preserve">450</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Business Stationery Suite</w:t>
            </w:r>
          </w:p>
        </w:tc>
        <w:tc>
          <w:tcPr/>
          <w:p>
            <w:pPr>
              <w:pStyle w:val="Compact"/>
              <w:jc w:val="left"/>
            </w:pPr>
            <w:r>
              <w:t xml:space="preserve">Business cards, letterhead, envelopes, invoice templates – print-ready files</w:t>
            </w:r>
          </w:p>
        </w:tc>
        <w:tc>
          <w:tcPr/>
          <w:p>
            <w:pPr>
              <w:pStyle w:val="Compact"/>
              <w:jc w:val="left"/>
            </w:pPr>
            <w:r>
              <w:t xml:space="preserve">16</w:t>
            </w:r>
          </w:p>
        </w:tc>
        <w:tc>
          <w:tcPr/>
          <w:p>
            <w:pPr>
              <w:pStyle w:val="Compact"/>
              <w:jc w:val="left"/>
            </w:pPr>
            <w:r>
              <w:t xml:space="preserve">450</w:t>
            </w:r>
          </w:p>
        </w:tc>
        <w:tc>
          <w:tcPr/>
          <w:p>
            <w:pPr>
              <w:pStyle w:val="Compact"/>
              <w:jc w:val="left"/>
            </w:pPr>
            <w:r>
              <w:t xml:space="preserve">7,200</w:t>
            </w:r>
          </w:p>
        </w:tc>
      </w:tr>
      <w:tr>
        <w:tc>
          <w:tcPr/>
          <w:p>
            <w:pPr>
              <w:pStyle w:val="Compact"/>
              <w:jc w:val="left"/>
            </w:pPr>
            <w:r>
              <w:t xml:space="preserve">3</w:t>
            </w:r>
          </w:p>
        </w:tc>
        <w:tc>
          <w:tcPr/>
          <w:p>
            <w:pPr>
              <w:pStyle w:val="Compact"/>
              <w:jc w:val="left"/>
            </w:pPr>
            <w:r>
              <w:t xml:space="preserve">Digital Marketing Collateral</w:t>
            </w:r>
          </w:p>
        </w:tc>
        <w:tc>
          <w:tcPr/>
          <w:p>
            <w:pPr>
              <w:pStyle w:val="Compact"/>
              <w:jc w:val="left"/>
            </w:pPr>
            <w:r>
              <w:t xml:space="preserve">Social media templates (Instagram, Facebook, LinkedIn), email newsletter design, banner ads (12 pieces)</w:t>
            </w:r>
          </w:p>
        </w:tc>
        <w:tc>
          <w:tcPr/>
          <w:p>
            <w:pPr>
              <w:pStyle w:val="Compact"/>
              <w:jc w:val="left"/>
            </w:pPr>
            <w:r>
              <w:t xml:space="preserve">32</w:t>
            </w:r>
          </w:p>
        </w:tc>
        <w:tc>
          <w:tcPr/>
          <w:p>
            <w:pPr>
              <w:pStyle w:val="Compact"/>
              <w:jc w:val="left"/>
            </w:pPr>
            <w:r>
              <w:t xml:space="preserve">450</w:t>
            </w:r>
          </w:p>
        </w:tc>
        <w:tc>
          <w:tcPr/>
          <w:p>
            <w:pPr>
              <w:pStyle w:val="Compact"/>
              <w:jc w:val="left"/>
            </w:pPr>
            <w:r>
              <w:t xml:space="preserve">14,400</w:t>
            </w:r>
          </w:p>
        </w:tc>
      </w:tr>
      <w:tr>
        <w:tc>
          <w:tcPr/>
          <w:p>
            <w:pPr>
              <w:pStyle w:val="Compact"/>
              <w:jc w:val="left"/>
            </w:pPr>
            <w:r>
              <w:t xml:space="preserve">4</w:t>
            </w:r>
          </w:p>
        </w:tc>
        <w:tc>
          <w:tcPr/>
          <w:p>
            <w:pPr>
              <w:pStyle w:val="Compact"/>
              <w:jc w:val="left"/>
            </w:pPr>
            <w:r>
              <w:t xml:space="preserve">Website Visual Design</w:t>
            </w:r>
          </w:p>
        </w:tc>
        <w:tc>
          <w:tcPr/>
          <w:p>
            <w:pPr>
              <w:pStyle w:val="Compact"/>
              <w:jc w:val="left"/>
            </w:pPr>
            <w:r>
              <w:t xml:space="preserve">Homepage, About, Services, Contact pages – responsive mockups in Figma</w:t>
            </w:r>
          </w:p>
        </w:tc>
        <w:tc>
          <w:tcPr/>
          <w:p>
            <w:pPr>
              <w:pStyle w:val="Compact"/>
              <w:jc w:val="left"/>
            </w:pPr>
            <w:r>
              <w:t xml:space="preserve">28</w:t>
            </w:r>
          </w:p>
        </w:tc>
        <w:tc>
          <w:tcPr/>
          <w:p>
            <w:pPr>
              <w:pStyle w:val="Compact"/>
              <w:jc w:val="left"/>
            </w:pPr>
            <w:r>
              <w:t xml:space="preserve">450</w:t>
            </w:r>
          </w:p>
        </w:tc>
        <w:tc>
          <w:tcPr/>
          <w:p>
            <w:pPr>
              <w:pStyle w:val="Compact"/>
              <w:jc w:val="left"/>
            </w:pPr>
            <w:r>
              <w:t xml:space="preserve">12,600</w:t>
            </w:r>
          </w:p>
        </w:tc>
      </w:tr>
      <w:tr>
        <w:tc>
          <w:tcPr/>
          <w:p>
            <w:pPr>
              <w:pStyle w:val="Compact"/>
              <w:jc w:val="left"/>
            </w:pPr>
            <w:r>
              <w:t xml:space="preserve">5</w:t>
            </w:r>
          </w:p>
        </w:tc>
        <w:tc>
          <w:tcPr/>
          <w:p>
            <w:pPr>
              <w:pStyle w:val="Compact"/>
              <w:jc w:val="left"/>
            </w:pPr>
            <w:r>
              <w:t xml:space="preserve">Presentation Deck Design</w:t>
            </w:r>
          </w:p>
        </w:tc>
        <w:tc>
          <w:tcPr/>
          <w:p>
            <w:pPr>
              <w:pStyle w:val="Compact"/>
              <w:jc w:val="left"/>
            </w:pPr>
            <w:r>
              <w:t xml:space="preserve">25-slide investor/partner presentation with custom infographics</w:t>
            </w:r>
          </w:p>
        </w:tc>
        <w:tc>
          <w:tcPr/>
          <w:p>
            <w:pPr>
              <w:pStyle w:val="Compact"/>
              <w:jc w:val="left"/>
            </w:pPr>
            <w:r>
              <w:t xml:space="preserve">12</w:t>
            </w:r>
          </w:p>
        </w:tc>
        <w:tc>
          <w:tcPr/>
          <w:p>
            <w:pPr>
              <w:pStyle w:val="Compact"/>
              <w:jc w:val="left"/>
            </w:pPr>
            <w:r>
              <w:t xml:space="preserve">450</w:t>
            </w:r>
          </w:p>
        </w:tc>
        <w:tc>
          <w:tcPr/>
          <w:p>
            <w:pPr>
              <w:pStyle w:val="Compact"/>
              <w:jc w:val="left"/>
            </w:pPr>
            <w:r>
              <w:t xml:space="preserve">5,400</w:t>
            </w:r>
          </w:p>
        </w:tc>
      </w:tr>
      <w:tr>
        <w:tc>
          <w:tcPr/>
          <w:p>
            <w:pPr>
              <w:pStyle w:val="Compact"/>
              <w:jc w:val="left"/>
            </w:pPr>
            <w:r>
              <w:t xml:space="preserve">6</w:t>
            </w:r>
          </w:p>
        </w:tc>
        <w:tc>
          <w:tcPr/>
          <w:p>
            <w:pPr>
              <w:pStyle w:val="Compact"/>
              <w:jc w:val="left"/>
            </w:pPr>
            <w:r>
              <w:t xml:space="preserve">Revisions &amp; Final Delivery</w:t>
            </w:r>
          </w:p>
        </w:tc>
        <w:tc>
          <w:tcPr/>
          <w:p>
            <w:pPr>
              <w:pStyle w:val="Compact"/>
              <w:jc w:val="left"/>
            </w:pPr>
            <w:r>
              <w:t xml:space="preserve">Up to 3 revision rounds per deliverable, final file handoff (AI, EPS, PDF, PNG, SVG)</w:t>
            </w:r>
          </w:p>
        </w:tc>
        <w:tc>
          <w:tcPr/>
          <w:p>
            <w:pPr>
              <w:pStyle w:val="Compact"/>
              <w:jc w:val="left"/>
            </w:pPr>
            <w:r>
              <w:t xml:space="preserve">10</w:t>
            </w:r>
          </w:p>
        </w:tc>
        <w:tc>
          <w:tcPr/>
          <w:p>
            <w:pPr>
              <w:pStyle w:val="Compact"/>
              <w:jc w:val="left"/>
            </w:pPr>
            <w:r>
              <w:t xml:space="preserve">450</w:t>
            </w:r>
          </w:p>
        </w:tc>
        <w:tc>
          <w:tcPr/>
          <w:p>
            <w:pPr>
              <w:pStyle w:val="Compact"/>
              <w:jc w:val="left"/>
            </w:pPr>
            <w:r>
              <w:t xml:space="preserve">4,500</w:t>
            </w:r>
          </w:p>
        </w:tc>
      </w:tr>
      <w:tr>
        <w:tc>
          <w:tcPr>
            <w:gridSpan w:val="5"/>
          </w:tcPr>
          <w:p>
            <w:pPr>
              <w:pStyle w:val="Compact"/>
              <w:jc w:val="right"/>
            </w:pPr>
            <w:r>
              <w:t xml:space="preserve">Subtotal (excl. VAT):</w:t>
            </w:r>
          </w:p>
        </w:tc>
        <w:tc>
          <w:tcPr/>
          <w:p>
            <w:pPr>
              <w:pStyle w:val="Compact"/>
              <w:jc w:val="left"/>
            </w:pPr>
            <w:r>
              <w:t xml:space="preserve">62,100</w:t>
            </w:r>
          </w:p>
        </w:tc>
      </w:tr>
      <w:tr>
        <w:tc>
          <w:tcPr>
            <w:gridSpan w:val="5"/>
          </w:tcPr>
          <w:p>
            <w:pPr>
              <w:pStyle w:val="Compact"/>
              <w:jc w:val="right"/>
            </w:pPr>
            <w:r>
              <w:t xml:space="preserve">VAT (18% – Israel):</w:t>
            </w:r>
          </w:p>
        </w:tc>
        <w:tc>
          <w:tcPr/>
          <w:p>
            <w:pPr>
              <w:pStyle w:val="Compact"/>
              <w:jc w:val="left"/>
            </w:pPr>
            <w:r>
              <w:t xml:space="preserve">11,178</w:t>
            </w:r>
          </w:p>
        </w:tc>
      </w:tr>
      <w:tr>
        <w:tc>
          <w:tcPr>
            <w:gridSpan w:val="5"/>
          </w:tcPr>
          <w:p>
            <w:pPr>
              <w:pStyle w:val="Compact"/>
              <w:jc w:val="right"/>
            </w:pPr>
            <w:r>
              <w:t xml:space="preserve">Total Amount Due (ILS):</w:t>
            </w:r>
          </w:p>
        </w:tc>
        <w:tc>
          <w:tcPr/>
          <w:p>
            <w:pPr>
              <w:pStyle w:val="Compact"/>
              <w:jc w:val="left"/>
            </w:pPr>
            <w:r>
              <w:t xml:space="preserve">73,278</w:t>
            </w:r>
          </w:p>
        </w:tc>
      </w:tr>
    </w:tbl>
    <w:bookmarkEnd w:id="21"/>
    <w:bookmarkStart w:id="22" w:name="project-timeline"/>
    <w:p>
      <w:pPr>
        <w:pStyle w:val="Heading2"/>
      </w:pPr>
      <w:r>
        <w:t xml:space="preserve">2. Project Timeline</w:t>
      </w:r>
    </w:p>
    <w:p>
      <w:pPr>
        <w:pStyle w:val="FirstParagraph"/>
      </w:pPr>
      <w:r>
        <w:t xml:space="preserve">This Quotation Estimate assumes a total project duration of approximately 6–8 weeks from the date of signed acceptance. The Graphic Designer will provide weekly progress updates and two scheduled client review meetings (in-person at our Tel Aviv studio or via video conference). Milestone-based delivery will ensure your team in Israel Tel Aviv receives assets in a timely manner aligned with your Q3 marketing launch.</w:t>
      </w:r>
    </w:p>
    <w:bookmarkEnd w:id="22"/>
    <w:bookmarkStart w:id="23" w:name="payment-terms"/>
    <w:p>
      <w:pPr>
        <w:pStyle w:val="Heading2"/>
      </w:pPr>
      <w:r>
        <w:t xml:space="preserve">3. Payment Terms</w:t>
      </w:r>
    </w:p>
    <w:p>
      <w:pPr>
        <w:numPr>
          <w:ilvl w:val="0"/>
          <w:numId w:val="1001"/>
        </w:numPr>
        <w:pStyle w:val="Compact"/>
      </w:pPr>
      <w:r>
        <w:rPr>
          <w:bCs/>
          <w:b/>
        </w:rPr>
        <w:t xml:space="preserve">50% Advance Payment:</w:t>
      </w:r>
      <w:r>
        <w:t xml:space="preserve"> </w:t>
      </w:r>
      <w:r>
        <w:t xml:space="preserve">Due upon signing this Quotation Estimate and project commencement (by June 20, 2025).</w:t>
      </w:r>
    </w:p>
    <w:p>
      <w:pPr>
        <w:numPr>
          <w:ilvl w:val="0"/>
          <w:numId w:val="1001"/>
        </w:numPr>
        <w:pStyle w:val="Compact"/>
      </w:pPr>
      <w:r>
        <w:rPr>
          <w:bCs/>
          <w:b/>
        </w:rPr>
        <w:t xml:space="preserve">30% Mid-Project Payment:</w:t>
      </w:r>
      <w:r>
        <w:t xml:space="preserve"> </w:t>
      </w:r>
      <w:r>
        <w:t xml:space="preserve">Due upon approval of the brand identity package (approximately Week 3).</w:t>
      </w:r>
    </w:p>
    <w:p>
      <w:pPr>
        <w:numPr>
          <w:ilvl w:val="0"/>
          <w:numId w:val="1001"/>
        </w:numPr>
        <w:pStyle w:val="Compact"/>
      </w:pPr>
      <w:r>
        <w:rPr>
          <w:bCs/>
          <w:b/>
        </w:rPr>
        <w:t xml:space="preserve">20% Final Payment:</w:t>
      </w:r>
      <w:r>
        <w:t xml:space="preserve"> </w:t>
      </w:r>
      <w:r>
        <w:t xml:space="preserve">Due upon delivery of all final files and written client acceptance.</w:t>
      </w:r>
    </w:p>
    <w:p>
      <w:pPr>
        <w:numPr>
          <w:ilvl w:val="0"/>
          <w:numId w:val="1001"/>
        </w:numPr>
        <w:pStyle w:val="Compact"/>
      </w:pPr>
      <w:r>
        <w:t xml:space="preserve">Payments to be made via bank transfer to: Bank Leumi, Account No. 002-123456-7, IBAN: IL00 0123 4567 8901 2345 678.</w:t>
      </w:r>
    </w:p>
    <w:p>
      <w:pPr>
        <w:numPr>
          <w:ilvl w:val="0"/>
          <w:numId w:val="1001"/>
        </w:numPr>
        <w:pStyle w:val="Compact"/>
      </w:pPr>
      <w:r>
        <w:t xml:space="preserve">Late payments will incur a 1.5% monthly interest charge in accordance with Israeli commercial law.</w:t>
      </w:r>
    </w:p>
    <w:bookmarkEnd w:id="23"/>
    <w:bookmarkStart w:id="24" w:name="terms-conditions"/>
    <w:p>
      <w:pPr>
        <w:pStyle w:val="Heading2"/>
      </w:pPr>
      <w:r>
        <w:t xml:space="preserve">4. Terms &amp; Conditions</w:t>
      </w:r>
    </w:p>
    <w:p>
      <w:pPr>
        <w:numPr>
          <w:ilvl w:val="0"/>
          <w:numId w:val="1002"/>
        </w:numPr>
        <w:pStyle w:val="Compact"/>
      </w:pPr>
      <w:r>
        <w:t xml:space="preserve">This Quotation Estimate is valid for 30 calendar days from the date of issue. After this period, rates may be adjusted to reflect current market conditions in the Tel Aviv design sector.</w:t>
      </w:r>
    </w:p>
    <w:p>
      <w:pPr>
        <w:numPr>
          <w:ilvl w:val="0"/>
          <w:numId w:val="1002"/>
        </w:numPr>
        <w:pStyle w:val="Compact"/>
      </w:pPr>
      <w:r>
        <w:t xml:space="preserve">All intellectual property rights to the final approved designs will transfer to the client upon full payment. The Graphic Designer retains the right to display completed work in their professional portfolio.</w:t>
      </w:r>
    </w:p>
    <w:p>
      <w:pPr>
        <w:numPr>
          <w:ilvl w:val="0"/>
          <w:numId w:val="1002"/>
        </w:numPr>
        <w:pStyle w:val="Compact"/>
      </w:pPr>
      <w:r>
        <w:t xml:space="preserve">Any additional services, scope changes, or revision rounds beyond the three included will be billed at the standard hourly rate of ILS 450 per hour, subject to a written amendment to this Quotation Estimate.</w:t>
      </w:r>
    </w:p>
    <w:p>
      <w:pPr>
        <w:numPr>
          <w:ilvl w:val="0"/>
          <w:numId w:val="1002"/>
        </w:numPr>
        <w:pStyle w:val="Compact"/>
      </w:pPr>
      <w:r>
        <w:t xml:space="preserve">The Graphic Designer is not responsible for third-party costs including print production, domain registration, or web hosting, unless explicitly stated in a supplementary agreement.</w:t>
      </w:r>
    </w:p>
    <w:p>
      <w:pPr>
        <w:numPr>
          <w:ilvl w:val="0"/>
          <w:numId w:val="1002"/>
        </w:numPr>
        <w:pStyle w:val="Compact"/>
      </w:pPr>
      <w:r>
        <w:t xml:space="preserve">This agreement is governed by the laws of the State of Israel. Any disputes shall be resolved in the competent courts of Tel Aviv, Israel.</w:t>
      </w:r>
    </w:p>
    <w:p>
      <w:pPr>
        <w:numPr>
          <w:ilvl w:val="0"/>
          <w:numId w:val="1002"/>
        </w:numPr>
        <w:pStyle w:val="Compact"/>
      </w:pPr>
      <w:r>
        <w:t xml:space="preserve">Confidentiality: All client information, brand assets, and project details shared during the engagement will be treated as strictly confidential and will not be disclosed to any third party without written consent.</w:t>
      </w:r>
    </w:p>
    <w:bookmarkEnd w:id="24"/>
    <w:bookmarkStart w:id="25" w:name="acceptance"/>
    <w:p>
      <w:pPr>
        <w:pStyle w:val="Heading2"/>
      </w:pPr>
      <w:r>
        <w:t xml:space="preserve">5. Acceptance</w:t>
      </w:r>
    </w:p>
    <w:p>
      <w:pPr>
        <w:pStyle w:val="FirstParagraph"/>
      </w:pPr>
      <w:r>
        <w:t xml:space="preserve">By signing below, both parties acknowledge and agree to the terms outlined in this Quotation Estimate. This document, once countersigned, constitutes a binding service agreement for the Graphic Designer engagement described herein.</w:t>
      </w:r>
    </w:p>
    <w:p>
      <w:pPr>
        <w:pStyle w:val="BodyText"/>
      </w:pPr>
      <w:r>
        <w:rPr>
          <w:bCs/>
          <w:b/>
        </w:rPr>
        <w:t xml:space="preserve">For PixelCraft Design Studio (Graphic Designer)</w:t>
      </w:r>
      <w:r>
        <w:br/>
      </w:r>
      <w:r>
        <w:t xml:space="preserve">Name: Noa Shapira</w:t>
      </w:r>
      <w:r>
        <w:br/>
      </w:r>
      <w:r>
        <w:t xml:space="preserve">Signature: _________________________</w:t>
      </w:r>
      <w:r>
        <w:br/>
      </w:r>
      <w:r>
        <w:t xml:space="preserve">Date: _________________________</w:t>
      </w:r>
    </w:p>
    <w:p>
      <w:pPr>
        <w:pStyle w:val="BodyText"/>
      </w:pPr>
      <w:r>
        <w:rPr>
          <w:bCs/>
          <w:b/>
        </w:rPr>
        <w:t xml:space="preserve">For Client (Levi &amp; Associates Marketing Ltd.)</w:t>
      </w:r>
      <w:r>
        <w:br/>
      </w:r>
      <w:r>
        <w:t xml:space="preserve">Name: David Levi</w:t>
      </w:r>
      <w:r>
        <w:br/>
      </w:r>
      <w:r>
        <w:t xml:space="preserve">Signature: _________________________</w:t>
      </w:r>
      <w:r>
        <w:br/>
      </w:r>
      <w:r>
        <w:t xml:space="preserve">Date: _________________________</w:t>
      </w:r>
    </w:p>
    <w:p>
      <w:pPr>
        <w:pStyle w:val="BodyText"/>
      </w:pPr>
      <w:r>
        <w:t xml:space="preserve">PixelCraft Design Studio | 123 Dizengoff Street, Tel Aviv-Yafo, Israel | VAT: 51-234-567-8</w:t>
      </w:r>
    </w:p>
    <w:p>
      <w:pPr>
        <w:pStyle w:val="BodyText"/>
      </w:pPr>
      <w:r>
        <w:t xml:space="preserve">This Quotation Estimate was prepared exclusively for the named client and is non-transferable.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Israel Tel Aviv</dc:title>
  <dc:creator/>
  <dc:language>en</dc:language>
  <cp:keywords/>
  <dcterms:created xsi:type="dcterms:W3CDTF">2026-10-10T07:00:08Z</dcterms:created>
  <dcterms:modified xsi:type="dcterms:W3CDTF">2026-10-10T07:00:08Z</dcterms:modified>
</cp:coreProperties>
</file>

<file path=docProps/custom.xml><?xml version="1.0" encoding="utf-8"?>
<Properties xmlns="http://schemas.openxmlformats.org/officeDocument/2006/custom-properties" xmlns:vt="http://schemas.openxmlformats.org/officeDocument/2006/docPropsVTypes"/>
</file>