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ixelcraft-design-studio"/>
    <w:p>
      <w:pPr>
        <w:pStyle w:val="Heading1"/>
      </w:pPr>
      <w:r>
        <w:t xml:space="preserve">PixelCraft Design Studio</w:t>
      </w:r>
    </w:p>
    <w:p>
      <w:pPr>
        <w:pStyle w:val="FirstParagraph"/>
      </w:pPr>
      <w:r>
        <w:t xml:space="preserve">12 Nevsky Prospekt, Building 4, Office 217</w:t>
      </w:r>
    </w:p>
    <w:p>
      <w:pPr>
        <w:pStyle w:val="BodyText"/>
      </w:pPr>
      <w:r>
        <w:t xml:space="preserve">Saint Petersburg, 191025, Russian Federation</w:t>
      </w:r>
    </w:p>
    <w:p>
      <w:pPr>
        <w:pStyle w:val="BodyText"/>
      </w:pPr>
      <w:r>
        <w:t xml:space="preserve">Tel: +7 (812) 555-0142 | Email: quotes@pixelcraft-sp.ru</w:t>
      </w:r>
    </w:p>
    <w:p>
      <w:pPr>
        <w:pStyle w:val="BodyText"/>
      </w:pPr>
      <w:r>
        <w:t xml:space="preserve">INN: 7811234567 | OGRN: 1157847001234</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QTE-SPB-2025-0487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Alexander V. Petrov, CEO, Northern Lights Media Group LLC</w:t>
            </w:r>
          </w:p>
        </w:tc>
      </w:tr>
      <w:tr>
        <w:tc>
          <w:tcPr/>
          <w:p>
            <w:pPr>
              <w:pStyle w:val="Compact"/>
              <w:jc w:val="left"/>
            </w:pPr>
            <w:r>
              <w:t xml:space="preserve">Client Address:</w:t>
            </w:r>
          </w:p>
        </w:tc>
        <w:tc>
          <w:tcPr/>
          <w:p>
            <w:pPr>
              <w:pStyle w:val="Compact"/>
              <w:jc w:val="left"/>
            </w:pPr>
            <w:r>
              <w:t xml:space="preserve">45 Liteyny Avenue, Floor 8, Saint Petersburg, 190000, Russia</w:t>
            </w:r>
          </w:p>
        </w:tc>
      </w:tr>
      <w:tr>
        <w:tc>
          <w:tcPr/>
          <w:p>
            <w:pPr>
              <w:pStyle w:val="Compact"/>
              <w:jc w:val="left"/>
            </w:pPr>
            <w:r>
              <w:t xml:space="preserve">Project Reference:</w:t>
            </w:r>
          </w:p>
        </w:tc>
        <w:tc>
          <w:tcPr/>
          <w:p>
            <w:pPr>
              <w:pStyle w:val="Compact"/>
              <w:jc w:val="left"/>
            </w:pPr>
            <w:r>
              <w:t xml:space="preserve">Full-Brand Identity &amp; Digital Campaign – Q3 2025</w:t>
            </w:r>
          </w:p>
        </w:tc>
      </w:tr>
    </w:tbl>
    <w:p>
      <w:pPr>
        <w:pStyle w:val="BodyText"/>
      </w:pPr>
      <w:r>
        <w:t xml:space="preserve">Dear Mr. Petrov,</w:t>
      </w:r>
    </w:p>
    <w:p>
      <w:pPr>
        <w:pStyle w:val="BodyText"/>
      </w:pPr>
      <w:r>
        <w:t xml:space="preserve">Thank you for the opportunity to prepare this</w:t>
      </w:r>
      <w:r>
        <w:t xml:space="preserve"> </w:t>
      </w:r>
      <w:r>
        <w:rPr>
          <w:bCs/>
          <w:b/>
        </w:rPr>
        <w:t xml:space="preserve">Quotation Estimate</w:t>
      </w:r>
      <w:r>
        <w:t xml:space="preserve"> </w:t>
      </w:r>
      <w:r>
        <w:t xml:space="preserve">for the engagement of a senior</w:t>
      </w:r>
      <w:r>
        <w:t xml:space="preserve"> </w:t>
      </w:r>
      <w:r>
        <w:rPr>
          <w:bCs/>
          <w:b/>
        </w:rPr>
        <w:t xml:space="preserve">Graphic Designer</w:t>
      </w:r>
      <w:r>
        <w:t xml:space="preserve"> </w:t>
      </w:r>
      <w:r>
        <w:t xml:space="preserve">to support Northern Lights Media Group LLC in the development of a comprehensive brand identity and digital marketing campaign. This</w:t>
      </w:r>
      <w:r>
        <w:t xml:space="preserve"> </w:t>
      </w:r>
      <w:r>
        <w:rPr>
          <w:bCs/>
          <w:b/>
        </w:rPr>
        <w:t xml:space="preserve">Quotation Estimate</w:t>
      </w:r>
      <w:r>
        <w:t xml:space="preserve"> </w:t>
      </w:r>
      <w:r>
        <w:t xml:space="preserve">has been prepared specifically for execution within</w:t>
      </w:r>
      <w:r>
        <w:t xml:space="preserve"> </w:t>
      </w:r>
      <w:r>
        <w:rPr>
          <w:bCs/>
          <w:b/>
        </w:rPr>
        <w:t xml:space="preserve">Russia Saint Petersburg</w:t>
      </w:r>
      <w:r>
        <w:t xml:space="preserve">, taking into account local market rates, applicable tax regulations under the Russian Federation, and the specific creative requirements outlined in your brief dated 28 May 2025.</w:t>
      </w:r>
    </w:p>
    <w:p>
      <w:pPr>
        <w:pStyle w:val="BodyText"/>
      </w:pPr>
      <w:r>
        <w:t xml:space="preserve">PixelCraft Design Studio is a full-service creative agency headquartered in the heart of</w:t>
      </w:r>
      <w:r>
        <w:t xml:space="preserve"> </w:t>
      </w:r>
      <w:r>
        <w:rPr>
          <w:bCs/>
          <w:b/>
        </w:rPr>
        <w:t xml:space="preserve">Russia Saint Petersburg</w:t>
      </w:r>
      <w:r>
        <w:t xml:space="preserve">, with over twelve years of experience delivering high-quality visual communication solutions to clients across the Russian Federation and international markets. Our dedicated</w:t>
      </w:r>
      <w:r>
        <w:t xml:space="preserve"> </w:t>
      </w:r>
      <w:r>
        <w:rPr>
          <w:bCs/>
          <w:b/>
        </w:rPr>
        <w:t xml:space="preserve">Graphic Designer</w:t>
      </w:r>
      <w:r>
        <w:t xml:space="preserve"> </w:t>
      </w:r>
      <w:r>
        <w:t xml:space="preserve">team combines deep knowledge of local cultural aesthetics with global design standards to produce work that resonates with both domestic and international audiences.</w:t>
      </w:r>
    </w:p>
    <w:bookmarkStart w:id="21" w:name="scope-of-work-graphic-designer-services"/>
    <w:p>
      <w:pPr>
        <w:pStyle w:val="Heading2"/>
      </w:pPr>
      <w:r>
        <w:t xml:space="preserve">1. Scope of Work – Graphic Designer Services</w:t>
      </w:r>
    </w:p>
    <w:p>
      <w:pPr>
        <w:pStyle w:val="FirstParagraph"/>
      </w:pPr>
      <w:r>
        <w:t xml:space="preserve">The following</w:t>
      </w:r>
      <w:r>
        <w:t xml:space="preserve"> </w:t>
      </w:r>
      <w:r>
        <w:rPr>
          <w:bCs/>
          <w:b/>
        </w:rPr>
        <w:t xml:space="preserve">Quotation Estimate</w:t>
      </w:r>
      <w:r>
        <w:t xml:space="preserve"> </w:t>
      </w:r>
      <w:r>
        <w:t xml:space="preserve">covers the full scope of services to be delivered by our lead</w:t>
      </w:r>
      <w:r>
        <w:t xml:space="preserve"> </w:t>
      </w:r>
      <w:r>
        <w:rPr>
          <w:bCs/>
          <w:b/>
        </w:rPr>
        <w:t xml:space="preserve">Graphic Designer</w:t>
      </w:r>
      <w:r>
        <w:t xml:space="preserve">, Dmitry K. Sokolov (15+ years of professional experience), over a projected engagement period of twelve (12) weeks commencing 1 July 2025. All deliverables will be produced in accordance with the creative brief and will be subject to a maximum of three (3) revision rounds per deliverable, as is standard practice for</w:t>
      </w:r>
      <w:r>
        <w:t xml:space="preserve"> </w:t>
      </w:r>
      <w:r>
        <w:rPr>
          <w:bCs/>
          <w:b/>
        </w:rPr>
        <w:t xml:space="preserve">Graphic Designer</w:t>
      </w:r>
      <w:r>
        <w:t xml:space="preserve"> </w:t>
      </w:r>
      <w:r>
        <w:t xml:space="preserve">engagements in</w:t>
      </w:r>
      <w:r>
        <w:t xml:space="preserve"> </w:t>
      </w:r>
      <w:r>
        <w:rPr>
          <w:bCs/>
          <w:b/>
        </w:rPr>
        <w:t xml:space="preserve">Russia Saint Petersburg</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Deliverable / Service 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Brand Identity Development</w:t>
            </w:r>
          </w:p>
        </w:tc>
        <w:tc>
          <w:tcPr/>
          <w:p>
            <w:pPr>
              <w:pStyle w:val="Compact"/>
              <w:jc w:val="left"/>
            </w:pPr>
            <w:r>
              <w:t xml:space="preserve">Logo design (primary, secondary, monochrome), brand guidelines document (40+ pages), colour palette, typography system</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Corporate Stationery Suite</w:t>
            </w:r>
          </w:p>
        </w:tc>
        <w:tc>
          <w:tcPr/>
          <w:p>
            <w:pPr>
              <w:pStyle w:val="Compact"/>
              <w:jc w:val="left"/>
            </w:pPr>
            <w:r>
              <w:t xml:space="preserve">Business cards, letterhead, envelopes, presentation folders, notepads – print-ready files in CMYK</w:t>
            </w:r>
          </w:p>
        </w:tc>
        <w:tc>
          <w:tcPr/>
          <w:p>
            <w:pPr>
              <w:pStyle w:val="Compact"/>
              <w:jc w:val="left"/>
            </w:pPr>
            <w:r>
              <w:t xml:space="preserve">1</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3</w:t>
            </w:r>
          </w:p>
        </w:tc>
        <w:tc>
          <w:tcPr/>
          <w:p>
            <w:pPr>
              <w:pStyle w:val="Compact"/>
              <w:jc w:val="left"/>
            </w:pPr>
            <w:r>
              <w:t xml:space="preserve">Digital Marketing Collateral</w:t>
            </w:r>
          </w:p>
        </w:tc>
        <w:tc>
          <w:tcPr/>
          <w:p>
            <w:pPr>
              <w:pStyle w:val="Compact"/>
              <w:jc w:val="left"/>
            </w:pPr>
            <w:r>
              <w:t xml:space="preserve">Social media templates (VK, Telegram, Odnoklassniki), email newsletter designs, banner ads (7 sizes)</w:t>
            </w:r>
          </w:p>
        </w:tc>
        <w:tc>
          <w:tcPr/>
          <w:p>
            <w:pPr>
              <w:pStyle w:val="Compact"/>
              <w:jc w:val="left"/>
            </w:pPr>
            <w:r>
              <w:t xml:space="preserve">1</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4</w:t>
            </w:r>
          </w:p>
        </w:tc>
        <w:tc>
          <w:tcPr/>
          <w:p>
            <w:pPr>
              <w:pStyle w:val="Compact"/>
              <w:jc w:val="left"/>
            </w:pPr>
            <w:r>
              <w:t xml:space="preserve">Print Advertising Materials</w:t>
            </w:r>
          </w:p>
        </w:tc>
        <w:tc>
          <w:tcPr/>
          <w:p>
            <w:pPr>
              <w:pStyle w:val="Compact"/>
              <w:jc w:val="left"/>
            </w:pPr>
            <w:r>
              <w:t xml:space="preserve">Full-page and half-page magazine advertisements, outdoor billboard mockups (3 formats), brochure (16 pages)</w:t>
            </w:r>
          </w:p>
        </w:tc>
        <w:tc>
          <w:tcPr/>
          <w:p>
            <w:pPr>
              <w:pStyle w:val="Compact"/>
              <w:jc w:val="left"/>
            </w:pPr>
            <w:r>
              <w:t xml:space="preserve">1</w:t>
            </w:r>
          </w:p>
        </w:tc>
        <w:tc>
          <w:tcPr/>
          <w:p>
            <w:pPr>
              <w:pStyle w:val="Compact"/>
              <w:jc w:val="left"/>
            </w:pPr>
            <w:r>
              <w:t xml:space="preserve">134,000</w:t>
            </w:r>
          </w:p>
        </w:tc>
        <w:tc>
          <w:tcPr/>
          <w:p>
            <w:pPr>
              <w:pStyle w:val="Compact"/>
              <w:jc w:val="left"/>
            </w:pPr>
            <w:r>
              <w:t xml:space="preserve">134,000</w:t>
            </w:r>
          </w:p>
        </w:tc>
      </w:tr>
      <w:tr>
        <w:tc>
          <w:tcPr/>
          <w:p>
            <w:pPr>
              <w:pStyle w:val="Compact"/>
              <w:jc w:val="left"/>
            </w:pPr>
            <w:r>
              <w:t xml:space="preserve">5</w:t>
            </w:r>
          </w:p>
        </w:tc>
        <w:tc>
          <w:tcPr/>
          <w:p>
            <w:pPr>
              <w:pStyle w:val="Compact"/>
              <w:jc w:val="left"/>
            </w:pPr>
            <w:r>
              <w:t xml:space="preserve">Packaging &amp; Label Design</w:t>
            </w:r>
          </w:p>
        </w:tc>
        <w:tc>
          <w:tcPr/>
          <w:p>
            <w:pPr>
              <w:pStyle w:val="Compact"/>
              <w:jc w:val="left"/>
            </w:pPr>
            <w:r>
              <w:t xml:space="preserve">Product packaging for 3 SKUs, shelf-ready dielines, label artwork, print specifications</w:t>
            </w:r>
          </w:p>
        </w:tc>
        <w:tc>
          <w:tcPr/>
          <w:p>
            <w:pPr>
              <w:pStyle w:val="Compact"/>
              <w:jc w:val="left"/>
            </w:pPr>
            <w:r>
              <w:t xml:space="preserve">3</w:t>
            </w:r>
          </w:p>
        </w:tc>
        <w:tc>
          <w:tcPr/>
          <w:p>
            <w:pPr>
              <w:pStyle w:val="Compact"/>
              <w:jc w:val="left"/>
            </w:pPr>
            <w:r>
              <w:t xml:space="preserve">48,000</w:t>
            </w:r>
          </w:p>
        </w:tc>
        <w:tc>
          <w:tcPr/>
          <w:p>
            <w:pPr>
              <w:pStyle w:val="Compact"/>
              <w:jc w:val="left"/>
            </w:pPr>
            <w:r>
              <w:t xml:space="preserve">144,000</w:t>
            </w:r>
          </w:p>
        </w:tc>
      </w:tr>
      <w:tr>
        <w:tc>
          <w:tcPr/>
          <w:p>
            <w:pPr>
              <w:pStyle w:val="Compact"/>
              <w:jc w:val="left"/>
            </w:pPr>
            <w:r>
              <w:t xml:space="preserve">6</w:t>
            </w:r>
          </w:p>
        </w:tc>
        <w:tc>
          <w:tcPr/>
          <w:p>
            <w:pPr>
              <w:pStyle w:val="Compact"/>
              <w:jc w:val="left"/>
            </w:pPr>
            <w:r>
              <w:t xml:space="preserve">Website Visual Assets</w:t>
            </w:r>
          </w:p>
        </w:tc>
        <w:tc>
          <w:tcPr/>
          <w:p>
            <w:pPr>
              <w:pStyle w:val="Compact"/>
              <w:jc w:val="left"/>
            </w:pPr>
            <w:r>
              <w:t xml:space="preserve">Hero banners, section illustrations, icon set (24 icons), UI micro-interaction graphics</w:t>
            </w:r>
          </w:p>
        </w:tc>
        <w:tc>
          <w:tcPr/>
          <w:p>
            <w:pPr>
              <w:pStyle w:val="Compact"/>
              <w:jc w:val="left"/>
            </w:pPr>
            <w:r>
              <w:t xml:space="preserve">1</w:t>
            </w:r>
          </w:p>
        </w:tc>
        <w:tc>
          <w:tcPr/>
          <w:p>
            <w:pPr>
              <w:pStyle w:val="Compact"/>
              <w:jc w:val="left"/>
            </w:pPr>
            <w:r>
              <w:t xml:space="preserve">88,000</w:t>
            </w:r>
          </w:p>
        </w:tc>
        <w:tc>
          <w:tcPr/>
          <w:p>
            <w:pPr>
              <w:pStyle w:val="Compact"/>
              <w:jc w:val="left"/>
            </w:pPr>
            <w:r>
              <w:t xml:space="preserve">88,000</w:t>
            </w:r>
          </w:p>
        </w:tc>
      </w:tr>
      <w:tr>
        <w:tc>
          <w:tcPr/>
          <w:p>
            <w:pPr>
              <w:pStyle w:val="Compact"/>
              <w:jc w:val="left"/>
            </w:pPr>
            <w:r>
              <w:t xml:space="preserve">7</w:t>
            </w:r>
          </w:p>
        </w:tc>
        <w:tc>
          <w:tcPr/>
          <w:p>
            <w:pPr>
              <w:pStyle w:val="Compact"/>
              <w:jc w:val="left"/>
            </w:pPr>
            <w:r>
              <w:t xml:space="preserve">Event &amp; Exhibition Graphics</w:t>
            </w:r>
          </w:p>
        </w:tc>
        <w:tc>
          <w:tcPr/>
          <w:p>
            <w:pPr>
              <w:pStyle w:val="Compact"/>
              <w:jc w:val="left"/>
            </w:pPr>
            <w:r>
              <w:t xml:space="preserve">Booth backdrop, roll-up banners, handout flyers, badge design for 2 trade shows in Saint Petersburg</w:t>
            </w:r>
          </w:p>
        </w:tc>
        <w:tc>
          <w:tcPr/>
          <w:p>
            <w:pPr>
              <w:pStyle w:val="Compact"/>
              <w:jc w:val="left"/>
            </w:pPr>
            <w:r>
              <w:t xml:space="preserve">2</w:t>
            </w:r>
          </w:p>
        </w:tc>
        <w:tc>
          <w:tcPr/>
          <w:p>
            <w:pPr>
              <w:pStyle w:val="Compact"/>
              <w:jc w:val="left"/>
            </w:pPr>
            <w:r>
              <w:t xml:space="preserve">54,000</w:t>
            </w:r>
          </w:p>
        </w:tc>
        <w:tc>
          <w:tcPr/>
          <w:p>
            <w:pPr>
              <w:pStyle w:val="Compact"/>
              <w:jc w:val="left"/>
            </w:pPr>
            <w:r>
              <w:t xml:space="preserve">108,000</w:t>
            </w:r>
          </w:p>
        </w:tc>
      </w:tr>
      <w:tr>
        <w:tc>
          <w:tcPr/>
          <w:p>
            <w:pPr>
              <w:pStyle w:val="Compact"/>
              <w:jc w:val="left"/>
            </w:pPr>
            <w:r>
              <w:t xml:space="preserve">8</w:t>
            </w:r>
          </w:p>
        </w:tc>
        <w:tc>
          <w:tcPr/>
          <w:p>
            <w:pPr>
              <w:pStyle w:val="Compact"/>
              <w:jc w:val="left"/>
            </w:pPr>
            <w:r>
              <w:t xml:space="preserve">Ongoing Design Support (Monthly)</w:t>
            </w:r>
          </w:p>
        </w:tc>
        <w:tc>
          <w:tcPr/>
          <w:p>
            <w:pPr>
              <w:pStyle w:val="Compact"/>
              <w:jc w:val="left"/>
            </w:pPr>
            <w:r>
              <w:t xml:space="preserve">Ad-hoc</w:t>
            </w:r>
            <w:r>
              <w:t xml:space="preserve"> </w:t>
            </w:r>
            <w:r>
              <w:rPr>
                <w:bCs/>
                <w:b/>
              </w:rPr>
              <w:t xml:space="preserve">Graphic Designer</w:t>
            </w:r>
            <w:r>
              <w:t xml:space="preserve"> </w:t>
            </w:r>
            <w:r>
              <w:t xml:space="preserve">support, 20 hours/month, priority turnaround within 48 hours</w:t>
            </w:r>
          </w:p>
        </w:tc>
        <w:tc>
          <w:tcPr/>
          <w:p>
            <w:pPr>
              <w:pStyle w:val="Compact"/>
              <w:jc w:val="left"/>
            </w:pPr>
            <w:r>
              <w:t xml:space="preserve">3</w:t>
            </w:r>
          </w:p>
        </w:tc>
        <w:tc>
          <w:tcPr/>
          <w:p>
            <w:pPr>
              <w:pStyle w:val="Compact"/>
              <w:jc w:val="left"/>
            </w:pPr>
            <w:r>
              <w:t xml:space="preserve">62,000</w:t>
            </w:r>
          </w:p>
        </w:tc>
        <w:tc>
          <w:tcPr/>
          <w:p>
            <w:pPr>
              <w:pStyle w:val="Compact"/>
              <w:jc w:val="left"/>
            </w:pPr>
            <w:r>
              <w:t xml:space="preserve">186,000</w:t>
            </w:r>
          </w:p>
        </w:tc>
      </w:tr>
      <w:tr>
        <w:tc>
          <w:tcPr/>
          <w:p>
            <w:pPr>
              <w:pStyle w:val="Compact"/>
              <w:jc w:val="left"/>
            </w:pPr>
            <w:r>
              <w:t xml:space="preserve">9</w:t>
            </w:r>
          </w:p>
        </w:tc>
        <w:tc>
          <w:tcPr/>
          <w:p>
            <w:pPr>
              <w:pStyle w:val="Compact"/>
              <w:jc w:val="left"/>
            </w:pPr>
            <w:r>
              <w:t xml:space="preserve">Project Management &amp; Coordination</w:t>
            </w:r>
          </w:p>
        </w:tc>
        <w:tc>
          <w:tcPr/>
          <w:p>
            <w:pPr>
              <w:pStyle w:val="Compact"/>
              <w:jc w:val="left"/>
            </w:pPr>
            <w:r>
              <w:t xml:space="preserve">Dedicated account manager, weekly progress reports, file versioning, final handover package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bookmarkEnd w:id="21"/>
    <w:bookmarkStart w:id="22" w:name="financial-summary"/>
    <w:p>
      <w:pPr>
        <w:pStyle w:val="Heading2"/>
      </w:pPr>
      <w:r>
        <w:t xml:space="preserve">2.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(RUB)</w:t>
            </w:r>
          </w:p>
        </w:tc>
      </w:tr>
      <w:tr>
        <w:tc>
          <w:tcPr/>
          <w:p>
            <w:pPr>
              <w:pStyle w:val="Compact"/>
              <w:jc w:val="left"/>
            </w:pPr>
            <w:r>
              <w:t xml:space="preserve">Subtotal – All Design Services</w:t>
            </w:r>
          </w:p>
        </w:tc>
        <w:tc>
          <w:tcPr/>
          <w:p>
            <w:pPr>
              <w:pStyle w:val="Compact"/>
              <w:jc w:val="right"/>
            </w:pPr>
            <w:r>
              <w:t xml:space="preserve">1,058,000</w:t>
            </w:r>
          </w:p>
        </w:tc>
      </w:tr>
      <w:tr>
        <w:tc>
          <w:tcPr/>
          <w:p>
            <w:pPr>
              <w:pStyle w:val="Compact"/>
              <w:jc w:val="left"/>
            </w:pPr>
            <w:r>
              <w:t xml:space="preserve">VAT (20% – Russian Federation Standard Rate)</w:t>
            </w:r>
          </w:p>
        </w:tc>
        <w:tc>
          <w:tcPr/>
          <w:p>
            <w:pPr>
              <w:pStyle w:val="Compact"/>
              <w:jc w:val="right"/>
            </w:pPr>
            <w:r>
              <w:t xml:space="preserve">211,600</w:t>
            </w:r>
          </w:p>
        </w:tc>
      </w:tr>
      <w:tr>
        <w:tc>
          <w:tcPr/>
          <w:p>
            <w:pPr>
              <w:pStyle w:val="Compact"/>
              <w:jc w:val="left"/>
            </w:pPr>
            <w:r>
              <w:t xml:space="preserve">Total Quotation Estimate Amount (VAT Inclusive)</w:t>
            </w:r>
          </w:p>
        </w:tc>
        <w:tc>
          <w:tcPr/>
          <w:p>
            <w:pPr>
              <w:pStyle w:val="Compact"/>
              <w:jc w:val="right"/>
            </w:pPr>
            <w:r>
              <w:t xml:space="preserve">1,269,600</w:t>
            </w:r>
          </w:p>
        </w:tc>
      </w:tr>
    </w:tbl>
    <w:p>
      <w:pPr>
        <w:pStyle w:val="BodyText"/>
      </w:pPr>
      <w:r>
        <w:t xml:space="preserve">All amounts are quoted in Russian Rubles (RUB). This Quotation Estimate is valid for 30 calendar days from the date of issue. Rates reflect current market conditions for Graphic Designer services in Russia Saint Petersburg as of June 2025.</w:t>
      </w:r>
    </w:p>
    <w:bookmarkEnd w:id="22"/>
    <w:bookmarkStart w:id="23" w:name="payment-terms"/>
    <w:p>
      <w:pPr>
        <w:pStyle w:val="Heading2"/>
      </w:pPr>
      <w:r>
        <w:t xml:space="preserve">3. Payment Terms</w:t>
      </w:r>
    </w:p>
    <w:p>
      <w:pPr>
        <w:pStyle w:val="FirstParagraph"/>
      </w:pPr>
      <w:r>
        <w:t xml:space="preserve">Payment for the services outlined in this</w:t>
      </w:r>
      <w:r>
        <w:t xml:space="preserve"> </w:t>
      </w:r>
      <w:r>
        <w:rPr>
          <w:bCs/>
          <w:b/>
        </w:rPr>
        <w:t xml:space="preserve">Quotation Estimate</w:t>
      </w:r>
      <w:r>
        <w:t xml:space="preserve"> </w:t>
      </w:r>
      <w:r>
        <w:t xml:space="preserve">shall be made in accordance with the following schedule, in line with standard commercial practice for</w:t>
      </w:r>
      <w:r>
        <w:t xml:space="preserve"> </w:t>
      </w:r>
      <w:r>
        <w:rPr>
          <w:bCs/>
          <w:b/>
        </w:rPr>
        <w:t xml:space="preserve">Graphic Designer</w:t>
      </w:r>
      <w:r>
        <w:t xml:space="preserve"> </w:t>
      </w:r>
      <w:r>
        <w:t xml:space="preserve">engagements in</w:t>
      </w:r>
      <w:r>
        <w:t xml:space="preserve"> </w:t>
      </w:r>
      <w:r>
        <w:rPr>
          <w:bCs/>
          <w:b/>
        </w:rPr>
        <w:t xml:space="preserve">Russia Saint Petersburg</w:t>
      </w:r>
      <w:r>
        <w:t xml:space="preserve">:</w:t>
      </w:r>
    </w:p>
    <w:p>
      <w:pPr>
        <w:numPr>
          <w:ilvl w:val="0"/>
          <w:numId w:val="1001"/>
        </w:numPr>
        <w:pStyle w:val="Compact"/>
      </w:pPr>
      <w:r>
        <w:rPr>
          <w:bCs/>
          <w:b/>
        </w:rPr>
        <w:t xml:space="preserve">Advance Payment (40%):</w:t>
      </w:r>
      <w:r>
        <w:t xml:space="preserve"> </w:t>
      </w:r>
      <w:r>
        <w:t xml:space="preserve">507,840 RUB – due within 5 business days of contract signing, prior to commencement of work.</w:t>
      </w:r>
    </w:p>
    <w:p>
      <w:pPr>
        <w:numPr>
          <w:ilvl w:val="0"/>
          <w:numId w:val="1001"/>
        </w:numPr>
        <w:pStyle w:val="Compact"/>
      </w:pPr>
      <w:r>
        <w:rPr>
          <w:bCs/>
          <w:b/>
        </w:rPr>
        <w:t xml:space="preserve">Progress Payment (35%):</w:t>
      </w:r>
      <w:r>
        <w:t xml:space="preserve"> </w:t>
      </w:r>
      <w:r>
        <w:t xml:space="preserve">444,360 RUB – due upon delivery and client approval of the Brand Identity Development and Corporate Stationery Suite (Items 1 &amp; 2).</w:t>
      </w:r>
    </w:p>
    <w:p>
      <w:pPr>
        <w:numPr>
          <w:ilvl w:val="0"/>
          <w:numId w:val="1001"/>
        </w:numPr>
        <w:pStyle w:val="Compact"/>
      </w:pPr>
      <w:r>
        <w:rPr>
          <w:bCs/>
          <w:b/>
        </w:rPr>
        <w:t xml:space="preserve">Final Payment (25%):</w:t>
      </w:r>
      <w:r>
        <w:t xml:space="preserve"> </w:t>
      </w:r>
      <w:r>
        <w:t xml:space="preserve">317,400 RUB – due within 10 business days of final handover of all remaining deliverables and receipt of the complete project file package.</w:t>
      </w:r>
    </w:p>
    <w:p>
      <w:pPr>
        <w:pStyle w:val="FirstParagraph"/>
      </w:pPr>
      <w:r>
        <w:t xml:space="preserve">All payments shall be made via bank transfer to the account of PixelCraft Design Studio, OAO Sberbank, Branch Saint Petersburg, Account No. 40702810XXXXXXXX, BIC: SABRRU32S10. Invoices will be issued in accordance with Russian Federation tax legislation (Federal Law No. 115-FZ and 54-FZ).</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constitutes a non-binding offer and does not form a contractual obligation until a formal Service Agreement is executed by both parties.</w:t>
      </w:r>
    </w:p>
    <w:p>
      <w:pPr>
        <w:numPr>
          <w:ilvl w:val="0"/>
          <w:numId w:val="1002"/>
        </w:numPr>
        <w:pStyle w:val="Compact"/>
      </w:pPr>
      <w:r>
        <w:t xml:space="preserve">All intellectual property rights in the final deliverables shall transfer to the client upon receipt of full payment. PixelCraft Design Studio retains the right to display completed work in its portfolio unless otherwise agreed in writing.</w:t>
      </w:r>
    </w:p>
    <w:p>
      <w:pPr>
        <w:numPr>
          <w:ilvl w:val="0"/>
          <w:numId w:val="1002"/>
        </w:numPr>
        <w:pStyle w:val="Compact"/>
      </w:pPr>
      <w:r>
        <w:t xml:space="preserve">The</w:t>
      </w:r>
      <w:r>
        <w:t xml:space="preserve"> </w:t>
      </w:r>
      <w:r>
        <w:rPr>
          <w:bCs/>
          <w:b/>
        </w:rPr>
        <w:t xml:space="preserve">Graphic Designer</w:t>
      </w:r>
      <w:r>
        <w:t xml:space="preserve"> </w:t>
      </w:r>
      <w:r>
        <w:t xml:space="preserve">assigned to this project (Dmitry K. Sokolov) shall be the primary creative lead. In the event of unavailability, a substitute of equivalent seniority will be assigned with prior client notification.</w:t>
      </w:r>
    </w:p>
    <w:p>
      <w:pPr>
        <w:numPr>
          <w:ilvl w:val="0"/>
          <w:numId w:val="1002"/>
        </w:numPr>
        <w:pStyle w:val="Compact"/>
      </w:pPr>
      <w:r>
        <w:t xml:space="preserve">Revisions beyond the three (3) included rounds per deliverable will be billed at a rate of 4,500 RUB per hour, consistent with prevailing</w:t>
      </w:r>
      <w:r>
        <w:t xml:space="preserve"> </w:t>
      </w:r>
      <w:r>
        <w:rPr>
          <w:bCs/>
          <w:b/>
        </w:rPr>
        <w:t xml:space="preserve">Graphic Designer</w:t>
      </w:r>
      <w:r>
        <w:t xml:space="preserve"> </w:t>
      </w:r>
      <w:r>
        <w:t xml:space="preserve">day-rate standards in</w:t>
      </w:r>
      <w:r>
        <w:t xml:space="preserve"> </w:t>
      </w:r>
      <w:r>
        <w:rPr>
          <w:bCs/>
          <w:b/>
        </w:rPr>
        <w:t xml:space="preserve">Russia Saint Petersburg</w:t>
      </w:r>
      <w:r>
        <w:t xml:space="preserve">.</w:t>
      </w:r>
    </w:p>
    <w:p>
      <w:pPr>
        <w:numPr>
          <w:ilvl w:val="0"/>
          <w:numId w:val="1002"/>
        </w:numPr>
        <w:pStyle w:val="Compact"/>
      </w:pPr>
      <w:r>
        <w:t xml:space="preserve">Source files (Adobe Illustrator, Photoshop, InDesign) will be delivered in a structured folder hierarchy. Print-ready files will be supplied in PDF/X-4 format with 3 mm bleed.</w:t>
      </w:r>
    </w:p>
    <w:p>
      <w:pPr>
        <w:numPr>
          <w:ilvl w:val="0"/>
          <w:numId w:val="1002"/>
        </w:numPr>
        <w:pStyle w:val="Compact"/>
      </w:pPr>
      <w:r>
        <w:t xml:space="preserve">Either party may terminate the engagement with 14 days written notice. In such case, all work completed to date shall be invoiced and paid in full.</w:t>
      </w:r>
    </w:p>
    <w:p>
      <w:pPr>
        <w:numPr>
          <w:ilvl w:val="0"/>
          <w:numId w:val="1002"/>
        </w:numPr>
        <w:pStyle w:val="Compact"/>
      </w:pPr>
      <w:r>
        <w:t xml:space="preserve">This</w:t>
      </w:r>
      <w:r>
        <w:t xml:space="preserve"> </w:t>
      </w:r>
      <w:r>
        <w:rPr>
          <w:bCs/>
          <w:b/>
        </w:rPr>
        <w:t xml:space="preserve">Quotation Estimate</w:t>
      </w:r>
      <w:r>
        <w:t xml:space="preserve"> </w:t>
      </w:r>
      <w:r>
        <w:t xml:space="preserve">is governed by the civil law of the Russian Federation. Any disputes shall be resolved through the Arbitration Court of Saint Petersburg and the Leningrad Region.</w:t>
      </w:r>
    </w:p>
    <w:p>
      <w:pPr>
        <w:numPr>
          <w:ilvl w:val="0"/>
          <w:numId w:val="1002"/>
        </w:numPr>
        <w:pStyle w:val="Compact"/>
      </w:pPr>
      <w:r>
        <w:t xml:space="preserve">Confidentiality: Both parties agree to maintain strict confidentiality regarding all project materials, client data, and commercial terms disclosed during the course of this engagement.</w:t>
      </w:r>
    </w:p>
    <w:bookmarkEnd w:id="24"/>
    <w:bookmarkStart w:id="25" w:name="acceptance-and-signatures"/>
    <w:p>
      <w:pPr>
        <w:pStyle w:val="Heading2"/>
      </w:pPr>
      <w:r>
        <w:t xml:space="preserve">5. Acceptance and Signatures</w:t>
      </w:r>
    </w:p>
    <w:p>
      <w:pPr>
        <w:pStyle w:val="FirstParagraph"/>
      </w:pPr>
      <w:r>
        <w:t xml:space="preserve">By signing below, both parties acknowledge that they have read, understood, and agree to the terms set forth in this</w:t>
      </w:r>
      <w:r>
        <w:t xml:space="preserve"> </w:t>
      </w:r>
      <w:r>
        <w:rPr>
          <w:bCs/>
          <w:b/>
        </w:rPr>
        <w:t xml:space="preserve">Quotation Estimate</w:t>
      </w:r>
      <w:r>
        <w:t xml:space="preserve"> </w:t>
      </w:r>
      <w:r>
        <w:t xml:space="preserve">for</w:t>
      </w:r>
      <w:r>
        <w:t xml:space="preserve"> </w:t>
      </w:r>
      <w:r>
        <w:rPr>
          <w:bCs/>
          <w:b/>
        </w:rPr>
        <w:t xml:space="preserve">Graphic Designer</w:t>
      </w:r>
      <w:r>
        <w:t xml:space="preserve"> </w:t>
      </w:r>
      <w:r>
        <w:t xml:space="preserve">services to be performed in</w:t>
      </w:r>
      <w:r>
        <w:t xml:space="preserve"> </w:t>
      </w:r>
      <w:r>
        <w:rPr>
          <w:bCs/>
          <w:b/>
        </w:rPr>
        <w:t xml:space="preserve">Russia Saint Petersburg</w:t>
      </w:r>
      <w:r>
        <w:t xml:space="preserve">.</w:t>
      </w:r>
    </w:p>
    <w:p>
      <w:pPr>
        <w:pStyle w:val="BodyText"/>
      </w:pPr>
      <w:r>
        <w:rPr>
          <w:bCs/>
          <w:b/>
        </w:rPr>
        <w:t xml:space="preserve">For PixelCraft Design Studio (Provider)</w:t>
      </w:r>
    </w:p>
    <w:p>
      <w:pPr>
        <w:pStyle w:val="BodyText"/>
      </w:pPr>
      <w:r>
        <w:t xml:space="preserve">Name: Elena V. Morozova</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w:t>
      </w:r>
    </w:p>
    <w:p>
      <w:pPr>
        <w:pStyle w:val="BodyText"/>
      </w:pPr>
      <w:r>
        <w:t xml:space="preserve">Company Seal:</w:t>
      </w:r>
    </w:p>
    <w:p>
      <w:pPr>
        <w:pStyle w:val="BodyText"/>
      </w:pPr>
      <w:r>
        <w:rPr>
          <w:bCs/>
          <w:b/>
        </w:rPr>
        <w:t xml:space="preserve">For Northern Lights Media Group LLC (Client)</w:t>
      </w:r>
    </w:p>
    <w:p>
      <w:pPr>
        <w:pStyle w:val="BodyText"/>
      </w:pPr>
      <w:r>
        <w:t xml:space="preserve">Name: Alexander V. Petrov</w:t>
      </w:r>
    </w:p>
    <w:p>
      <w:pPr>
        <w:pStyle w:val="BodyText"/>
      </w:pPr>
      <w:r>
        <w:t xml:space="preserve">Title: Chief Executive Officer</w:t>
      </w:r>
    </w:p>
    <w:p>
      <w:pPr>
        <w:pStyle w:val="BodyText"/>
      </w:pPr>
      <w:r>
        <w:t xml:space="preserve">Signature: _________________________</w:t>
      </w:r>
    </w:p>
    <w:p>
      <w:pPr>
        <w:pStyle w:val="BodyText"/>
      </w:pPr>
      <w:r>
        <w:t xml:space="preserve">Date: _________________________</w:t>
      </w:r>
    </w:p>
    <w:p>
      <w:pPr>
        <w:pStyle w:val="BodyText"/>
      </w:pPr>
      <w:r>
        <w:t xml:space="preserve">Company Seal:</w:t>
      </w:r>
    </w:p>
    <w:p>
      <w:pPr>
        <w:pStyle w:val="BodyText"/>
      </w:pPr>
      <w:r>
        <w:t xml:space="preserve">PixelCraft Design Studio | 12 Nevsky Prospekt, Bldg 4, Office 217, Saint Petersburg, 191025, Russian Federation</w:t>
      </w:r>
    </w:p>
    <w:p>
      <w:pPr>
        <w:pStyle w:val="BodyText"/>
      </w:pPr>
      <w:r>
        <w:t xml:space="preserve">Quotation Estimate No. QTE-SPB-2025-0487 | Page 1 of 1</w:t>
      </w:r>
    </w:p>
    <w:p>
      <w:pPr>
        <w:pStyle w:val="BodyText"/>
      </w:pPr>
      <w:r>
        <w:t xml:space="preserve">This document is generated electronically and is valid without a physical signature. For questions regarding this Quotation Estimate, please contact quotes@pixelcraft-sp.ru or +7 (812) 555-0142.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Russia Saint Petersburg</dc:title>
  <dc:creator/>
  <dc:language>en</dc:language>
  <cp:keywords/>
  <dcterms:created xsi:type="dcterms:W3CDTF">2026-10-10T09:23:05Z</dcterms:created>
  <dcterms:modified xsi:type="dcterms:W3CDTF">2026-10-10T09:23:05Z</dcterms:modified>
</cp:coreProperties>
</file>

<file path=docProps/custom.xml><?xml version="1.0" encoding="utf-8"?>
<Properties xmlns="http://schemas.openxmlformats.org/officeDocument/2006/custom-properties" xmlns:vt="http://schemas.openxmlformats.org/officeDocument/2006/docPropsVTypes"/>
</file>