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Graphic Designer Services</w:t>
      </w:r>
    </w:p>
    <w:p>
      <w:pPr>
        <w:pStyle w:val="BodyText"/>
      </w:pPr>
      <w:r>
        <w:t xml:space="preserve">Serving Clients in Saudi Arabia Jeddah</w:t>
      </w:r>
    </w:p>
    <w:p>
      <w:pPr>
        <w:pStyle w:val="BodyText"/>
      </w:pPr>
      <w:r>
        <w:t xml:space="preserve">Document Ref: QE-GD-JED-2025-0047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QE-GD-JED-2025-0047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Saudi Riyal (SAR)</w:t>
            </w:r>
          </w:p>
        </w:tc>
      </w:tr>
      <w:tr>
        <w:tc>
          <w:tcPr/>
          <w:p>
            <w:pPr>
              <w:pStyle w:val="Compact"/>
              <w:jc w:val="left"/>
            </w:pPr>
            <w:r>
              <w:t xml:space="preserve">Prepared By</w:t>
            </w:r>
          </w:p>
        </w:tc>
        <w:tc>
          <w:tcPr/>
          <w:p>
            <w:pPr>
              <w:pStyle w:val="Compact"/>
              <w:jc w:val="left"/>
            </w:pPr>
            <w:r>
              <w:t xml:space="preserve">Al-Nakheel Creative Studio, Graphic Designer Division</w:t>
            </w:r>
          </w:p>
        </w:tc>
        <w:tc>
          <w:tcPr/>
          <w:p>
            <w:pPr>
              <w:pStyle w:val="Compact"/>
              <w:jc w:val="left"/>
            </w:pPr>
            <w:r>
              <w:t xml:space="preserve">Location</w:t>
            </w:r>
          </w:p>
        </w:tc>
        <w:tc>
          <w:tcPr/>
          <w:p>
            <w:pPr>
              <w:pStyle w:val="Compact"/>
              <w:jc w:val="left"/>
            </w:pPr>
            <w:r>
              <w:t xml:space="preserve">King Fahd Road, Al Shati District, Saudi Arabia Jeddah</w:t>
            </w:r>
          </w:p>
        </w:tc>
      </w:tr>
      <w:tr>
        <w:tc>
          <w:tcPr/>
          <w:p>
            <w:pPr>
              <w:pStyle w:val="Compact"/>
              <w:jc w:val="left"/>
            </w:pPr>
            <w:r>
              <w:t xml:space="preserve">Client Name</w:t>
            </w:r>
          </w:p>
        </w:tc>
        <w:tc>
          <w:tcPr/>
          <w:p>
            <w:pPr>
              <w:pStyle w:val="Compact"/>
              <w:jc w:val="left"/>
            </w:pPr>
            <w:r>
              <w:t xml:space="preserve">[Client Company Name]</w:t>
            </w:r>
          </w:p>
        </w:tc>
        <w:tc>
          <w:tcPr/>
          <w:p>
            <w:pPr>
              <w:pStyle w:val="Compact"/>
              <w:jc w:val="left"/>
            </w:pPr>
            <w:r>
              <w:t xml:space="preserve">Client Contact</w:t>
            </w:r>
          </w:p>
        </w:tc>
        <w:tc>
          <w:tcPr/>
          <w:p>
            <w:pPr>
              <w:pStyle w:val="Compact"/>
              <w:jc w:val="left"/>
            </w:pPr>
            <w:r>
              <w:t xml:space="preserve">[Client Email / Phone]</w:t>
            </w:r>
          </w:p>
        </w:tc>
      </w:tr>
    </w:tbl>
    <w:bookmarkStart w:id="21" w:name="purpose-of-this-quotation-estimate"/>
    <w:p>
      <w:pPr>
        <w:pStyle w:val="Heading2"/>
      </w:pPr>
      <w:r>
        <w:t xml:space="preserve">1. Purpose of This Quotation Estimate</w:t>
      </w:r>
    </w:p>
    <w:p>
      <w:pPr>
        <w:pStyle w:val="FirstParagraph"/>
      </w:pPr>
      <w:r>
        <w:t xml:space="preserve">This Quotation Estimate document has been prepared by Al-Nakheel Creative Studio to formally present the scope, deliverables, and associated costs for professional Graphic Designer services to be rendered to the above-named client. This Quotation Estimate is specifically tailored for operations within Saudi Arabia Jeddah, reflecting local market rates, regulatory considerations, and the unique visual identity requirements of businesses operating in the Kingdom's commercial and cultural hub. The Graphic Designer engagement outlined herein is designed to meet the client's branding, marketing, and communication objectives in full compliance with Saudi Arabian commercial and cultural standards.</w:t>
      </w:r>
    </w:p>
    <w:bookmarkEnd w:id="21"/>
    <w:bookmarkStart w:id="22" w:name="scope-of-graphic-designer-services"/>
    <w:p>
      <w:pPr>
        <w:pStyle w:val="Heading2"/>
      </w:pPr>
      <w:r>
        <w:t xml:space="preserve">2. Scope of Graphic Designer Services</w:t>
      </w:r>
    </w:p>
    <w:p>
      <w:pPr>
        <w:pStyle w:val="FirstParagraph"/>
      </w:pPr>
      <w:r>
        <w:t xml:space="preserve">The following Quotation Estimate covers a comprehensive suite of Graphic Designer deliverables. Our Graphic Designer team in Saudi Arabia Jeddah will provide end-to-end visual design solutions, including but not limited to the items detailed in the pricing table below. Each deliverable has been scoped to ensure the client receives a cohesive, culturally appropriate, and visually compelling brand presence across all media channels relevant to the Saudi Arabia Jeddah market.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Graphic Designer Service / Deliverable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Brand Identity &amp; Logo Design</w:t>
            </w:r>
          </w:p>
        </w:tc>
        <w:tc>
          <w:tcPr/>
          <w:p>
            <w:pPr>
              <w:pStyle w:val="Compact"/>
              <w:jc w:val="left"/>
            </w:pPr>
            <w:r>
              <w:t xml:space="preserve">Primary logo, secondary mark, color palette, typography system, and brand guidelines document</w:t>
            </w:r>
          </w:p>
        </w:tc>
        <w:tc>
          <w:tcPr/>
          <w:p>
            <w:pPr>
              <w:pStyle w:val="Compact"/>
              <w:jc w:val="left"/>
            </w:pPr>
            <w:r>
              <w:t xml:space="preserve">1 Package</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2</w:t>
            </w:r>
          </w:p>
        </w:tc>
        <w:tc>
          <w:tcPr/>
          <w:p>
            <w:pPr>
              <w:pStyle w:val="Compact"/>
              <w:jc w:val="left"/>
            </w:pPr>
            <w:r>
              <w:t xml:space="preserve">Corporate Stationery Design</w:t>
            </w:r>
          </w:p>
        </w:tc>
        <w:tc>
          <w:tcPr/>
          <w:p>
            <w:pPr>
              <w:pStyle w:val="Compact"/>
              <w:jc w:val="left"/>
            </w:pPr>
            <w:r>
              <w:t xml:space="preserve">Business cards, letterheads, envelopes, and presentation folders (Arabic &amp; English bilingual)</w:t>
            </w:r>
          </w:p>
        </w:tc>
        <w:tc>
          <w:tcPr/>
          <w:p>
            <w:pPr>
              <w:pStyle w:val="Compact"/>
              <w:jc w:val="left"/>
            </w:pPr>
            <w:r>
              <w:t xml:space="preserve">1 Set</w:t>
            </w:r>
          </w:p>
        </w:tc>
        <w:tc>
          <w:tcPr/>
          <w:p>
            <w:pPr>
              <w:pStyle w:val="Compact"/>
              <w:jc w:val="left"/>
            </w:pPr>
            <w:r>
              <w:t xml:space="preserve">4,800</w:t>
            </w:r>
          </w:p>
        </w:tc>
        <w:tc>
          <w:tcPr/>
          <w:p>
            <w:pPr>
              <w:pStyle w:val="Compact"/>
              <w:jc w:val="left"/>
            </w:pPr>
            <w:r>
              <w:t xml:space="preserve">4,800</w:t>
            </w:r>
          </w:p>
        </w:tc>
      </w:tr>
      <w:tr>
        <w:tc>
          <w:tcPr/>
          <w:p>
            <w:pPr>
              <w:pStyle w:val="Compact"/>
              <w:jc w:val="left"/>
            </w:pPr>
            <w:r>
              <w:t xml:space="preserve">3</w:t>
            </w:r>
          </w:p>
        </w:tc>
        <w:tc>
          <w:tcPr/>
          <w:p>
            <w:pPr>
              <w:pStyle w:val="Compact"/>
              <w:jc w:val="left"/>
            </w:pPr>
            <w:r>
              <w:t xml:space="preserve">Marketing Collateral (Print)</w:t>
            </w:r>
          </w:p>
        </w:tc>
        <w:tc>
          <w:tcPr/>
          <w:p>
            <w:pPr>
              <w:pStyle w:val="Compact"/>
              <w:jc w:val="left"/>
            </w:pPr>
            <w:r>
              <w:t xml:space="preserve">Brochures, flyers, banners, and point-of-sale materials for Saudi Arabia Jeddah retail and trade events</w:t>
            </w:r>
          </w:p>
        </w:tc>
        <w:tc>
          <w:tcPr/>
          <w:p>
            <w:pPr>
              <w:pStyle w:val="Compact"/>
              <w:jc w:val="left"/>
            </w:pPr>
            <w:r>
              <w:t xml:space="preserve">8 Pieces</w:t>
            </w:r>
          </w:p>
        </w:tc>
        <w:tc>
          <w:tcPr/>
          <w:p>
            <w:pPr>
              <w:pStyle w:val="Compact"/>
              <w:jc w:val="left"/>
            </w:pPr>
            <w:r>
              <w:t xml:space="preserve">1,200</w:t>
            </w:r>
          </w:p>
        </w:tc>
        <w:tc>
          <w:tcPr/>
          <w:p>
            <w:pPr>
              <w:pStyle w:val="Compact"/>
              <w:jc w:val="left"/>
            </w:pPr>
            <w:r>
              <w:t xml:space="preserve">9,600</w:t>
            </w:r>
          </w:p>
        </w:tc>
      </w:tr>
      <w:tr>
        <w:tc>
          <w:tcPr/>
          <w:p>
            <w:pPr>
              <w:pStyle w:val="Compact"/>
              <w:jc w:val="left"/>
            </w:pPr>
            <w:r>
              <w:t xml:space="preserve">4</w:t>
            </w:r>
          </w:p>
        </w:tc>
        <w:tc>
          <w:tcPr/>
          <w:p>
            <w:pPr>
              <w:pStyle w:val="Compact"/>
              <w:jc w:val="left"/>
            </w:pPr>
            <w:r>
              <w:t xml:space="preserve">Digital &amp; Social Media Design</w:t>
            </w:r>
          </w:p>
        </w:tc>
        <w:tc>
          <w:tcPr/>
          <w:p>
            <w:pPr>
              <w:pStyle w:val="Compact"/>
              <w:jc w:val="left"/>
            </w:pPr>
            <w:r>
              <w:t xml:space="preserve">Monthly social media templates, digital ad creatives, and web banner designs (12 months)</w:t>
            </w:r>
          </w:p>
        </w:tc>
        <w:tc>
          <w:tcPr/>
          <w:p>
            <w:pPr>
              <w:pStyle w:val="Compact"/>
              <w:jc w:val="left"/>
            </w:pPr>
            <w:r>
              <w:t xml:space="preserve">12 Months</w:t>
            </w:r>
          </w:p>
        </w:tc>
        <w:tc>
          <w:tcPr/>
          <w:p>
            <w:pPr>
              <w:pStyle w:val="Compact"/>
              <w:jc w:val="left"/>
            </w:pPr>
            <w:r>
              <w:t xml:space="preserve">3,500</w:t>
            </w:r>
          </w:p>
        </w:tc>
        <w:tc>
          <w:tcPr/>
          <w:p>
            <w:pPr>
              <w:pStyle w:val="Compact"/>
              <w:jc w:val="left"/>
            </w:pPr>
            <w:r>
              <w:t xml:space="preserve">42,000</w:t>
            </w:r>
          </w:p>
        </w:tc>
      </w:tr>
      <w:tr>
        <w:tc>
          <w:tcPr/>
          <w:p>
            <w:pPr>
              <w:pStyle w:val="Compact"/>
              <w:jc w:val="left"/>
            </w:pPr>
            <w:r>
              <w:t xml:space="preserve">5</w:t>
            </w:r>
          </w:p>
        </w:tc>
        <w:tc>
          <w:tcPr/>
          <w:p>
            <w:pPr>
              <w:pStyle w:val="Compact"/>
              <w:jc w:val="left"/>
            </w:pPr>
            <w:r>
              <w:t xml:space="preserve">Packaging &amp; Label Design</w:t>
            </w:r>
          </w:p>
        </w:tc>
        <w:tc>
          <w:tcPr/>
          <w:p>
            <w:pPr>
              <w:pStyle w:val="Compact"/>
              <w:jc w:val="left"/>
            </w:pPr>
            <w:r>
              <w:t xml:space="preserve">Product packaging, shelf labels, and QR-integrated labels compliant with SASO standards</w:t>
            </w:r>
          </w:p>
        </w:tc>
        <w:tc>
          <w:tcPr/>
          <w:p>
            <w:pPr>
              <w:pStyle w:val="Compact"/>
              <w:jc w:val="left"/>
            </w:pPr>
            <w:r>
              <w:t xml:space="preserve">5 SKUs</w:t>
            </w:r>
          </w:p>
        </w:tc>
        <w:tc>
          <w:tcPr/>
          <w:p>
            <w:pPr>
              <w:pStyle w:val="Compact"/>
              <w:jc w:val="left"/>
            </w:pPr>
            <w:r>
              <w:t xml:space="preserve">2,800</w:t>
            </w:r>
          </w:p>
        </w:tc>
        <w:tc>
          <w:tcPr/>
          <w:p>
            <w:pPr>
              <w:pStyle w:val="Compact"/>
              <w:jc w:val="left"/>
            </w:pPr>
            <w:r>
              <w:t xml:space="preserve">14,000</w:t>
            </w:r>
          </w:p>
        </w:tc>
      </w:tr>
      <w:tr>
        <w:tc>
          <w:tcPr/>
          <w:p>
            <w:pPr>
              <w:pStyle w:val="Compact"/>
              <w:jc w:val="left"/>
            </w:pPr>
            <w:r>
              <w:t xml:space="preserve">6</w:t>
            </w:r>
          </w:p>
        </w:tc>
        <w:tc>
          <w:tcPr/>
          <w:p>
            <w:pPr>
              <w:pStyle w:val="Compact"/>
              <w:jc w:val="left"/>
            </w:pPr>
            <w:r>
              <w:t xml:space="preserve">Annual Report &amp; Presentation Design</w:t>
            </w:r>
          </w:p>
        </w:tc>
        <w:tc>
          <w:tcPr/>
          <w:p>
            <w:pPr>
              <w:pStyle w:val="Compact"/>
              <w:jc w:val="left"/>
            </w:pPr>
            <w:r>
              <w:t xml:space="preserve">Corporate annual report layout, investor presentation deck, and internal communication templates</w:t>
            </w:r>
          </w:p>
        </w:tc>
        <w:tc>
          <w:tcPr/>
          <w:p>
            <w:pPr>
              <w:pStyle w:val="Compact"/>
              <w:jc w:val="left"/>
            </w:pPr>
            <w:r>
              <w:t xml:space="preserve">1 Package</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7</w:t>
            </w:r>
          </w:p>
        </w:tc>
        <w:tc>
          <w:tcPr/>
          <w:p>
            <w:pPr>
              <w:pStyle w:val="Compact"/>
              <w:jc w:val="left"/>
            </w:pPr>
            <w:r>
              <w:t xml:space="preserve">Revisions &amp; Ongoing Support</w:t>
            </w:r>
          </w:p>
        </w:tc>
        <w:tc>
          <w:tcPr/>
          <w:p>
            <w:pPr>
              <w:pStyle w:val="Compact"/>
              <w:jc w:val="left"/>
            </w:pPr>
            <w:r>
              <w:t xml:space="preserve">Up to three revision rounds per deliverable and priority support within Saudi Arabia Jeddah business hours</w:t>
            </w:r>
          </w:p>
        </w:tc>
        <w:tc>
          <w:tcPr/>
          <w:p>
            <w:pPr>
              <w:pStyle w:val="Compact"/>
              <w:jc w:val="left"/>
            </w:pPr>
            <w:r>
              <w:t xml:space="preserve">Included</w:t>
            </w:r>
          </w:p>
        </w:tc>
        <w:tc>
          <w:tcPr/>
          <w:p>
            <w:pPr>
              <w:pStyle w:val="Compact"/>
              <w:jc w:val="left"/>
            </w:pPr>
            <w:r>
              <w:t xml:space="preserve">—</w:t>
            </w:r>
          </w:p>
        </w:tc>
        <w:tc>
          <w:tcPr/>
          <w:p>
            <w:pPr>
              <w:pStyle w:val="Compact"/>
              <w:jc w:val="left"/>
            </w:pPr>
            <w:r>
              <w:t xml:space="preserve">0</w:t>
            </w:r>
          </w:p>
        </w:tc>
      </w:tr>
      <w:tr>
        <w:tc>
          <w:tcPr>
            <w:gridSpan w:val="5"/>
          </w:tcPr>
          <w:p>
            <w:pPr>
              <w:pStyle w:val="Compact"/>
              <w:jc w:val="right"/>
            </w:pPr>
            <w:r>
              <w:t xml:space="preserve">Subtotal</w:t>
            </w:r>
          </w:p>
        </w:tc>
        <w:tc>
          <w:tcPr/>
          <w:p>
            <w:pPr>
              <w:pStyle w:val="Compact"/>
              <w:jc w:val="left"/>
            </w:pPr>
            <w:r>
              <w:t xml:space="preserve">91,400</w:t>
            </w:r>
          </w:p>
        </w:tc>
      </w:tr>
      <w:tr>
        <w:tc>
          <w:tcPr>
            <w:gridSpan w:val="5"/>
          </w:tcPr>
          <w:p>
            <w:pPr>
              <w:pStyle w:val="Compact"/>
              <w:jc w:val="right"/>
            </w:pPr>
            <w:r>
              <w:t xml:space="preserve">VAT (15% – Saudi Arabia)</w:t>
            </w:r>
          </w:p>
        </w:tc>
        <w:tc>
          <w:tcPr/>
          <w:p>
            <w:pPr>
              <w:pStyle w:val="Compact"/>
              <w:jc w:val="left"/>
            </w:pPr>
            <w:r>
              <w:t xml:space="preserve">13,710</w:t>
            </w:r>
          </w:p>
        </w:tc>
      </w:tr>
      <w:tr>
        <w:tc>
          <w:tcPr>
            <w:gridSpan w:val="5"/>
          </w:tcPr>
          <w:p>
            <w:pPr>
              <w:pStyle w:val="Compact"/>
              <w:jc w:val="right"/>
            </w:pPr>
            <w:r>
              <w:t xml:space="preserve">Grand Total (SAR)</w:t>
            </w:r>
          </w:p>
        </w:tc>
        <w:tc>
          <w:tcPr/>
          <w:p>
            <w:pPr>
              <w:pStyle w:val="Compact"/>
              <w:jc w:val="left"/>
            </w:pPr>
            <w:r>
              <w:t xml:space="preserve">105,110</w:t>
            </w:r>
          </w:p>
        </w:tc>
      </w:tr>
    </w:tbl>
    <w:bookmarkEnd w:id="22"/>
    <w:bookmarkStart w:id="23" w:name="project-timeline"/>
    <w:p>
      <w:pPr>
        <w:pStyle w:val="Heading2"/>
      </w:pPr>
      <w:r>
        <w:t xml:space="preserve">3. Project Timeline</w:t>
      </w:r>
    </w:p>
    <w:p>
      <w:pPr>
        <w:pStyle w:val="FirstParagraph"/>
      </w:pPr>
      <w:r>
        <w:t xml:space="preserve">The Graphic Designer engagement outlined in this Quotation Estimate is projected to span approximately twelve (12) weeks from the date of formal acceptance. The initial brand identity and stationery deliverables will be completed within the first four weeks. Marketing collateral and packaging designs will follow in weeks five through eight. The digital and social media design cycle will commence in week nine and continue on a monthly basis thereafter. All timelines are based on the client's timely provision of brand assets, content, and approval feedback. Delays in client response may extend the schedule proportionally, and this Quotation Estimate does not include expedited or rush-fee charges unless mutually agreed in writing.</w:t>
      </w:r>
    </w:p>
    <w:bookmarkEnd w:id="23"/>
    <w:bookmarkStart w:id="24" w:name="payment-terms"/>
    <w:p>
      <w:pPr>
        <w:pStyle w:val="Heading2"/>
      </w:pPr>
      <w:r>
        <w:t xml:space="preserve">4. Payment Terms</w:t>
      </w:r>
    </w:p>
    <w:p>
      <w:pPr>
        <w:pStyle w:val="FirstParagraph"/>
      </w:pPr>
      <w:r>
        <w:t xml:space="preserve">In accordance with standard commercial practice in Saudi Arabia Jeddah, payment for the services described in this Quotation Estimate shall be structured as follows: a non-refundable deposit of 40% (SAR 42,044) due upon signing and acceptance of this Quotation Estimate; a progress payment of 35% (SAR 36,788.50) due upon delivery of the brand identity and stationery package; and a final balance of 25% (SAR 26,277.50) due upon completion of all remaining deliverables. All payments shall be made in Saudi Riyal (SAR) via bank transfer to the account details provided by Al-Nakheel Creative Studio. Invoices will be issued in accordance with ZATCA (Zakat, Tax and Customs Authority) e-invoicing requirements applicable in Saudi Arabia.</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valid for thirty (30) days from the date of issue. After the expiry date, pricing may be subject to revision based on market conditions in Saudi Arabia Jeddah.</w:t>
      </w:r>
    </w:p>
    <w:p>
      <w:pPr>
        <w:pStyle w:val="BodyText"/>
      </w:pPr>
      <w:r>
        <w:rPr>
          <w:bCs/>
          <w:b/>
        </w:rPr>
        <w:t xml:space="preserve">5.2</w:t>
      </w:r>
      <w:r>
        <w:t xml:space="preserve"> </w:t>
      </w:r>
      <w:r>
        <w:t xml:space="preserve">All intellectual property rights to the final approved Graphic Designer deliverables shall transfer to the client upon full and final payment. Source files (AI, PSD, INDD, Figma) will be delivered in a secure digital package.</w:t>
      </w:r>
    </w:p>
    <w:p>
      <w:pPr>
        <w:pStyle w:val="BodyText"/>
      </w:pPr>
      <w:r>
        <w:rPr>
          <w:bCs/>
          <w:b/>
        </w:rPr>
        <w:t xml:space="preserve">5.3</w:t>
      </w:r>
      <w:r>
        <w:t xml:space="preserve"> </w:t>
      </w:r>
      <w:r>
        <w:t xml:space="preserve">The Graphic Designer services are subject to a maximum of three (3) revision rounds per deliverable. Additional revisions will be billed at SAR 500 per hour.</w:t>
      </w:r>
    </w:p>
    <w:p>
      <w:pPr>
        <w:pStyle w:val="BodyText"/>
      </w:pPr>
      <w:r>
        <w:rPr>
          <w:bCs/>
          <w:b/>
        </w:rPr>
        <w:t xml:space="preserve">5.4</w:t>
      </w:r>
      <w:r>
        <w:t xml:space="preserve"> </w:t>
      </w:r>
      <w:r>
        <w:t xml:space="preserve">All designs will adhere to Saudi Arabian cultural norms, language requirements (Arabic as primary, English as secondary), and any applicable regulatory guidelines issued by the Ministry of Commerce or relevant sector authorities in Saudi Arabia Jeddah.</w:t>
      </w:r>
    </w:p>
    <w:p>
      <w:pPr>
        <w:pStyle w:val="BodyText"/>
      </w:pPr>
      <w:r>
        <w:rPr>
          <w:bCs/>
          <w:b/>
        </w:rPr>
        <w:t xml:space="preserve">5.5</w:t>
      </w:r>
      <w:r>
        <w:t xml:space="preserve"> </w:t>
      </w:r>
      <w:r>
        <w:t xml:space="preserve">This Quotation Estimate does not include third-party licensing costs for stock imagery, fonts, or software plugins unless explicitly stated. The client shall bear any such additional costs.</w:t>
      </w:r>
    </w:p>
    <w:p>
      <w:pPr>
        <w:pStyle w:val="BodyText"/>
      </w:pPr>
      <w:r>
        <w:rPr>
          <w:bCs/>
          <w:b/>
        </w:rPr>
        <w:t xml:space="preserve">5.6</w:t>
      </w:r>
      <w:r>
        <w:t xml:space="preserve"> </w:t>
      </w:r>
      <w:r>
        <w:t xml:space="preserve">Disputes arising from this Quotation Estimate shall be governed by the laws of the Kingdom of Saudi Arabia and shall be subject to the exclusive jurisdiction of the competent courts in Jeddah, Saudi Arabia.</w:t>
      </w:r>
    </w:p>
    <w:bookmarkEnd w:id="25"/>
    <w:bookmarkStart w:id="26" w:name="acceptance"/>
    <w:p>
      <w:pPr>
        <w:pStyle w:val="Heading2"/>
      </w:pPr>
      <w:r>
        <w:t xml:space="preserve">6. Acceptance</w:t>
      </w:r>
    </w:p>
    <w:p>
      <w:pPr>
        <w:pStyle w:val="FirstParagraph"/>
      </w:pPr>
      <w:r>
        <w:t xml:space="preserve">By signing below, the client acknowledges and accepts the terms, scope, and pricing set forth in this Quotation Estimate for the Graphic Designer services to be provided in Saudi Arabia Jeddah. This signature constitutes a binding agreement between both parties for the duration of the engagement described herein.</w:t>
      </w:r>
    </w:p>
    <w:p>
      <w:pPr>
        <w:pStyle w:val="BodyText"/>
      </w:pPr>
      <w:r>
        <w:rPr>
          <w:bCs/>
          <w:b/>
        </w:rPr>
        <w:t xml:space="preserve">For Al-Nakheel Creative Studio</w:t>
      </w:r>
    </w:p>
    <w:p>
      <w:pPr>
        <w:pStyle w:val="BodyText"/>
      </w:pPr>
      <w:r>
        <w:t xml:space="preserve">Graphic Designer – Lead</w:t>
      </w:r>
    </w:p>
    <w:p>
      <w:pPr>
        <w:pStyle w:val="BodyText"/>
      </w:pPr>
      <w:r>
        <w:t xml:space="preserve">Name / Signature / Date</w:t>
      </w:r>
    </w:p>
    <w:p>
      <w:pPr>
        <w:pStyle w:val="BodyText"/>
      </w:pPr>
      <w:r>
        <w:rPr>
          <w:bCs/>
          <w:b/>
        </w:rPr>
        <w:t xml:space="preserve">For the Client</w:t>
      </w:r>
    </w:p>
    <w:p>
      <w:pPr>
        <w:pStyle w:val="BodyText"/>
      </w:pPr>
      <w:r>
        <w:t xml:space="preserve">Authorized Representative</w:t>
      </w:r>
    </w:p>
    <w:p>
      <w:pPr>
        <w:pStyle w:val="BodyText"/>
      </w:pPr>
      <w:r>
        <w:t xml:space="preserve">Name / Signature / Date</w:t>
      </w:r>
    </w:p>
    <w:p>
      <w:pPr>
        <w:pStyle w:val="BodyText"/>
      </w:pPr>
      <w:r>
        <w:rPr>
          <w:bCs/>
          <w:b/>
        </w:rPr>
        <w:t xml:space="preserve">Note:</w:t>
      </w:r>
      <w:r>
        <w:t xml:space="preserve"> </w:t>
      </w:r>
      <w:r>
        <w:t xml:space="preserve">This Quotation Estimate is a formal commercial document issued by Al-Nakheel Creative Studio, a registered Graphic Designer service provider operating in Saudi Arabia Jeddah. All figures are quoted in Saudi Riyal (SAR) and are inclusive of applicable taxes as stated. This document is not a final invoice. For any clarifications or amendments to this Quotation Estimate, please contact our office at King Fahd Road, Al Shati District, Jeddah, Saudi Arabia, or via email at quotations@alnakheel-creative.sa.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Saudi Arabia Jeddah</dc:title>
  <dc:creator/>
  <dc:language>en</dc:language>
  <cp:keywords/>
  <dcterms:created xsi:type="dcterms:W3CDTF">2026-10-10T06:29:48Z</dcterms:created>
  <dcterms:modified xsi:type="dcterms:W3CDTF">2026-10-10T06:29:48Z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