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jakarta-prestige-hair-studio"/>
    <w:p>
      <w:pPr>
        <w:pStyle w:val="Heading1"/>
      </w:pPr>
      <w:r>
        <w:t xml:space="preserve">PT. Jakarta Prestige Hair Studio</w:t>
      </w:r>
    </w:p>
    <w:p>
      <w:pPr>
        <w:pStyle w:val="FirstParagraph"/>
      </w:pPr>
      <w:r>
        <w:t xml:space="preserve">Jl. Jend. Sudirman Kav. 52-53, SCBD District</w:t>
      </w:r>
    </w:p>
    <w:p>
      <w:pPr>
        <w:pStyle w:val="BodyText"/>
      </w:pPr>
      <w:r>
        <w:t xml:space="preserve">South Jakarta 12190, Indonesia Jakarta</w:t>
      </w:r>
    </w:p>
    <w:p>
      <w:pPr>
        <w:pStyle w:val="BodyText"/>
      </w:pPr>
      <w:r>
        <w:t xml:space="preserve">Tel: +62 21 5790 1234 | Email: quotes@jakartaprestige.id</w:t>
      </w:r>
    </w:p>
    <w:p>
      <w:pPr>
        <w:pStyle w:val="BodyText"/>
      </w:pPr>
      <w:r>
        <w:t xml:space="preserve">NPWP: 01.234.567.8-051.000</w:t>
      </w:r>
    </w:p>
    <w:bookmarkEnd w:id="20"/>
    <w:bookmarkStart w:id="21" w:name="quotation-estimate"/>
    <w:p>
      <w:pPr>
        <w:pStyle w:val="Heading2"/>
      </w:pPr>
      <w:r>
        <w:t xml:space="preserve">QUOTATION ESTIMATE</w:t>
      </w:r>
    </w:p>
    <w:p>
      <w:pPr>
        <w:pStyle w:val="FirstParagraph"/>
      </w:pPr>
      <w:r>
        <w:t xml:space="preserve">Reference No: QTE-JKT-2025-04871</w:t>
      </w:r>
    </w:p>
    <w:p>
      <w:pPr>
        <w:pStyle w:val="BodyText"/>
      </w:pPr>
      <w:r>
        <w:t xml:space="preserve">Date: 15 June 2025</w:t>
      </w:r>
    </w:p>
    <w:p>
      <w:pPr>
        <w:pStyle w:val="BodyText"/>
      </w:pPr>
      <w:r>
        <w:t xml:space="preserve">Valid Until: 15 July 2025</w:t>
      </w:r>
    </w:p>
    <w:bookmarkEnd w:id="21"/>
    <w:p>
      <w:pPr>
        <w:pStyle w:val="BodyText"/>
      </w:pPr>
      <w:r>
        <w:t xml:space="preserve">Client Information</w:t>
      </w:r>
    </w:p>
    <w:p>
      <w:pPr>
        <w:pStyle w:val="BodyText"/>
      </w:pPr>
      <w:r>
        <w:rPr>
          <w:bCs/>
          <w:b/>
        </w:rPr>
        <w:t xml:space="preserve">Client Name:</w:t>
      </w:r>
      <w:r>
        <w:t xml:space="preserve"> </w:t>
      </w:r>
      <w:r>
        <w:t xml:space="preserve">Mrs. Anindya Wulandari</w:t>
      </w:r>
    </w:p>
    <w:p>
      <w:pPr>
        <w:pStyle w:val="BodyText"/>
      </w:pPr>
      <w:r>
        <w:rPr>
          <w:bCs/>
          <w:b/>
        </w:rPr>
        <w:t xml:space="preserve">Company:</w:t>
      </w:r>
      <w:r>
        <w:t xml:space="preserve"> </w:t>
      </w:r>
      <w:r>
        <w:t xml:space="preserve">PT. Nusantara Creative Agency</w:t>
      </w:r>
    </w:p>
    <w:p>
      <w:pPr>
        <w:pStyle w:val="BodyText"/>
      </w:pPr>
      <w:r>
        <w:rPr>
          <w:bCs/>
          <w:b/>
        </w:rPr>
        <w:t xml:space="preserve">Address:</w:t>
      </w:r>
      <w:r>
        <w:t xml:space="preserve"> </w:t>
      </w:r>
      <w:r>
        <w:t xml:space="preserve">Menara Sudirman, 12th Floor, Jakarta Selatan</w:t>
      </w:r>
    </w:p>
    <w:p>
      <w:pPr>
        <w:pStyle w:val="BodyText"/>
      </w:pPr>
      <w:r>
        <w:rPr>
          <w:bCs/>
          <w:b/>
        </w:rPr>
        <w:t xml:space="preserve">Contact Person:</w:t>
      </w:r>
      <w:r>
        <w:t xml:space="preserve"> </w:t>
      </w:r>
      <w:r>
        <w:t xml:space="preserve">Mr. Budi Santoso (HR Manager)</w:t>
      </w:r>
    </w:p>
    <w:p>
      <w:pPr>
        <w:pStyle w:val="BodyText"/>
      </w:pPr>
      <w:r>
        <w:rPr>
          <w:bCs/>
          <w:b/>
        </w:rPr>
        <w:t xml:space="preserve">Phone:</w:t>
      </w:r>
      <w:r>
        <w:t xml:space="preserve"> </w:t>
      </w:r>
      <w:r>
        <w:t xml:space="preserve">+62 812 3456 7890</w:t>
      </w:r>
    </w:p>
    <w:p>
      <w:pPr>
        <w:pStyle w:val="BodyText"/>
      </w:pPr>
      <w:r>
        <w:rPr>
          <w:bCs/>
          <w:b/>
        </w:rPr>
        <w:t xml:space="preserve">Email:</w:t>
      </w:r>
      <w:r>
        <w:t xml:space="preserve"> </w:t>
      </w:r>
      <w:r>
        <w:t xml:space="preserve">budi.santoso@nusantaracreative.co.id</w:t>
      </w:r>
    </w:p>
    <w:p>
      <w:pPr>
        <w:pStyle w:val="BodyText"/>
      </w:pPr>
      <w:r>
        <w:t xml:space="preserve">Quotation Estimate Summary</w:t>
      </w:r>
    </w:p>
    <w:p>
      <w:pPr>
        <w:pStyle w:val="BodyText"/>
      </w:pPr>
      <w:r>
        <w:t xml:space="preserve">This</w:t>
      </w:r>
      <w:r>
        <w:t xml:space="preserve"> </w:t>
      </w:r>
      <w:r>
        <w:t xml:space="preserve">Quotation Estimate</w:t>
      </w:r>
      <w:r>
        <w:t xml:space="preserve"> </w:t>
      </w:r>
      <w:r>
        <w:t xml:space="preserve">is issued by PT. Jakarta Prestige Hair Studio, a premier</w:t>
      </w:r>
      <w:r>
        <w:t xml:space="preserve"> </w:t>
      </w:r>
      <w:r>
        <w:t xml:space="preserve">Hairdresser</w:t>
      </w:r>
      <w:r>
        <w:t xml:space="preserve"> </w:t>
      </w:r>
      <w:r>
        <w:t xml:space="preserve">and beauty services provider based in</w:t>
      </w:r>
      <w:r>
        <w:t xml:space="preserve"> </w:t>
      </w:r>
      <w:r>
        <w:t xml:space="preserve">Indonesia Jakarta</w:t>
      </w:r>
      <w:r>
        <w:t xml:space="preserve">, in response to the client's request for a comprehensive corporate hairdressing and styling package. The following itemized breakdown details all professional</w:t>
      </w:r>
      <w:r>
        <w:t xml:space="preserve"> </w:t>
      </w:r>
      <w:r>
        <w:t xml:space="preserve">Hairdresser</w:t>
      </w:r>
      <w:r>
        <w:t xml:space="preserve"> </w:t>
      </w:r>
      <w:r>
        <w:t xml:space="preserve">services, premium products, and associated costs for the engagement described herein. All pricing is quoted in Indonesian Rupiah (IDR) and reflects the current market rates for high-end</w:t>
      </w:r>
      <w:r>
        <w:t xml:space="preserve"> </w:t>
      </w:r>
      <w:r>
        <w:t xml:space="preserve">Hairdresser</w:t>
      </w:r>
      <w:r>
        <w:t xml:space="preserve"> </w:t>
      </w:r>
      <w:r>
        <w:t xml:space="preserve">services in the</w:t>
      </w:r>
      <w:r>
        <w:t xml:space="preserve"> </w:t>
      </w:r>
      <w:r>
        <w:t xml:space="preserve">Indonesia Jakarta</w:t>
      </w:r>
      <w:r>
        <w:t xml:space="preserve"> </w:t>
      </w:r>
      <w:r>
        <w:t xml:space="preserve">metropolitan area.</w:t>
      </w:r>
    </w:p>
    <w:p>
      <w:pPr>
        <w:pStyle w:val="BodyText"/>
      </w:pPr>
      <w:r>
        <w:t xml:space="preserve">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Hairdresser Service Description</w:t>
            </w:r>
          </w:p>
        </w:tc>
        <w:tc>
          <w:tcPr/>
          <w:p>
            <w:pPr>
              <w:pStyle w:val="Compact"/>
              <w:jc w:val="left"/>
            </w:pPr>
            <w:r>
              <w:t xml:space="preserve">Qty</w:t>
            </w:r>
          </w:p>
        </w:tc>
        <w:tc>
          <w:tcPr/>
          <w:p>
            <w:pPr>
              <w:pStyle w:val="Compact"/>
              <w:jc w:val="left"/>
            </w:pPr>
            <w:r>
              <w:t xml:space="preserve">Duration</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Senior Hairdresser Consultation &amp; Scalp Analysis (per client)</w:t>
            </w:r>
          </w:p>
        </w:tc>
        <w:tc>
          <w:tcPr/>
          <w:p>
            <w:pPr>
              <w:pStyle w:val="Compact"/>
              <w:jc w:val="left"/>
            </w:pPr>
            <w:r>
              <w:t xml:space="preserve">25</w:t>
            </w:r>
          </w:p>
        </w:tc>
        <w:tc>
          <w:tcPr/>
          <w:p>
            <w:pPr>
              <w:pStyle w:val="Compact"/>
              <w:jc w:val="left"/>
            </w:pPr>
            <w:r>
              <w:t xml:space="preserve">30 min</w:t>
            </w:r>
          </w:p>
        </w:tc>
        <w:tc>
          <w:tcPr/>
          <w:p>
            <w:pPr>
              <w:pStyle w:val="Compact"/>
              <w:jc w:val="left"/>
            </w:pPr>
            <w:r>
              <w:t xml:space="preserve">350,000</w:t>
            </w:r>
          </w:p>
        </w:tc>
        <w:tc>
          <w:tcPr/>
          <w:p>
            <w:pPr>
              <w:pStyle w:val="Compact"/>
              <w:jc w:val="left"/>
            </w:pPr>
            <w:r>
              <w:t xml:space="preserve">8,750,000</w:t>
            </w:r>
          </w:p>
        </w:tc>
      </w:tr>
      <w:tr>
        <w:tc>
          <w:tcPr/>
          <w:p>
            <w:pPr>
              <w:pStyle w:val="Compact"/>
              <w:jc w:val="left"/>
            </w:pPr>
            <w:r>
              <w:t xml:space="preserve">2</w:t>
            </w:r>
          </w:p>
        </w:tc>
        <w:tc>
          <w:tcPr/>
          <w:p>
            <w:pPr>
              <w:pStyle w:val="Compact"/>
              <w:jc w:val="left"/>
            </w:pPr>
            <w:r>
              <w:t xml:space="preserve">Professional Hairdresser Cut &amp; Style (Women's Precision Cut)</w:t>
            </w:r>
          </w:p>
        </w:tc>
        <w:tc>
          <w:tcPr/>
          <w:p>
            <w:pPr>
              <w:pStyle w:val="Compact"/>
              <w:jc w:val="left"/>
            </w:pPr>
            <w:r>
              <w:t xml:space="preserve">15</w:t>
            </w:r>
          </w:p>
        </w:tc>
        <w:tc>
          <w:tcPr/>
          <w:p>
            <w:pPr>
              <w:pStyle w:val="Compact"/>
              <w:jc w:val="left"/>
            </w:pPr>
            <w:r>
              <w:t xml:space="preserve">60 min</w:t>
            </w:r>
          </w:p>
        </w:tc>
        <w:tc>
          <w:tcPr/>
          <w:p>
            <w:pPr>
              <w:pStyle w:val="Compact"/>
              <w:jc w:val="left"/>
            </w:pPr>
            <w:r>
              <w:t xml:space="preserve">750,000</w:t>
            </w:r>
          </w:p>
        </w:tc>
        <w:tc>
          <w:tcPr/>
          <w:p>
            <w:pPr>
              <w:pStyle w:val="Compact"/>
              <w:jc w:val="left"/>
            </w:pPr>
            <w:r>
              <w:t xml:space="preserve">11,250,000</w:t>
            </w:r>
          </w:p>
        </w:tc>
      </w:tr>
      <w:tr>
        <w:tc>
          <w:tcPr/>
          <w:p>
            <w:pPr>
              <w:pStyle w:val="Compact"/>
              <w:jc w:val="left"/>
            </w:pPr>
            <w:r>
              <w:t xml:space="preserve">3</w:t>
            </w:r>
          </w:p>
        </w:tc>
        <w:tc>
          <w:tcPr/>
          <w:p>
            <w:pPr>
              <w:pStyle w:val="Compact"/>
              <w:jc w:val="left"/>
            </w:pPr>
            <w:r>
              <w:t xml:space="preserve">Professional Hairdresser Cut &amp; Style (Men's Classic / Modern Cut)</w:t>
            </w:r>
          </w:p>
        </w:tc>
        <w:tc>
          <w:tcPr/>
          <w:p>
            <w:pPr>
              <w:pStyle w:val="Compact"/>
              <w:jc w:val="left"/>
            </w:pPr>
            <w:r>
              <w:t xml:space="preserve">10</w:t>
            </w:r>
          </w:p>
        </w:tc>
        <w:tc>
          <w:tcPr/>
          <w:p>
            <w:pPr>
              <w:pStyle w:val="Compact"/>
              <w:jc w:val="left"/>
            </w:pPr>
            <w:r>
              <w:t xml:space="preserve">45 min</w:t>
            </w:r>
          </w:p>
        </w:tc>
        <w:tc>
          <w:tcPr/>
          <w:p>
            <w:pPr>
              <w:pStyle w:val="Compact"/>
              <w:jc w:val="left"/>
            </w:pPr>
            <w:r>
              <w:t xml:space="preserve">550,000</w:t>
            </w:r>
          </w:p>
        </w:tc>
        <w:tc>
          <w:tcPr/>
          <w:p>
            <w:pPr>
              <w:pStyle w:val="Compact"/>
              <w:jc w:val="left"/>
            </w:pPr>
            <w:r>
              <w:t xml:space="preserve">5,500,000</w:t>
            </w:r>
          </w:p>
        </w:tc>
      </w:tr>
      <w:tr>
        <w:tc>
          <w:tcPr/>
          <w:p>
            <w:pPr>
              <w:pStyle w:val="Compact"/>
              <w:jc w:val="left"/>
            </w:pPr>
            <w:r>
              <w:t xml:space="preserve">4</w:t>
            </w:r>
          </w:p>
        </w:tc>
        <w:tc>
          <w:tcPr/>
          <w:p>
            <w:pPr>
              <w:pStyle w:val="Compact"/>
              <w:jc w:val="left"/>
            </w:pPr>
            <w:r>
              <w:t xml:space="preserve">Hairdresser Color Treatment – Full Head Balayage (Premium Ammonia-Free)</w:t>
            </w:r>
          </w:p>
        </w:tc>
        <w:tc>
          <w:tcPr/>
          <w:p>
            <w:pPr>
              <w:pStyle w:val="Compact"/>
              <w:jc w:val="left"/>
            </w:pPr>
            <w:r>
              <w:t xml:space="preserve">8</w:t>
            </w:r>
          </w:p>
        </w:tc>
        <w:tc>
          <w:tcPr/>
          <w:p>
            <w:pPr>
              <w:pStyle w:val="Compact"/>
              <w:jc w:val="left"/>
            </w:pPr>
            <w:r>
              <w:t xml:space="preserve">180 min</w:t>
            </w:r>
          </w:p>
        </w:tc>
        <w:tc>
          <w:tcPr/>
          <w:p>
            <w:pPr>
              <w:pStyle w:val="Compact"/>
              <w:jc w:val="left"/>
            </w:pPr>
            <w:r>
              <w:t xml:space="preserve">2,500,000</w:t>
            </w:r>
          </w:p>
        </w:tc>
        <w:tc>
          <w:tcPr/>
          <w:p>
            <w:pPr>
              <w:pStyle w:val="Compact"/>
              <w:jc w:val="left"/>
            </w:pPr>
            <w:r>
              <w:t xml:space="preserve">20,000,000</w:t>
            </w:r>
          </w:p>
        </w:tc>
      </w:tr>
      <w:tr>
        <w:tc>
          <w:tcPr/>
          <w:p>
            <w:pPr>
              <w:pStyle w:val="Compact"/>
              <w:jc w:val="left"/>
            </w:pPr>
            <w:r>
              <w:t xml:space="preserve">5</w:t>
            </w:r>
          </w:p>
        </w:tc>
        <w:tc>
          <w:tcPr/>
          <w:p>
            <w:pPr>
              <w:pStyle w:val="Compact"/>
              <w:jc w:val="left"/>
            </w:pPr>
            <w:r>
              <w:t xml:space="preserve">Hairdresser Keratin / Brazilian Blowout Treatment</w:t>
            </w:r>
          </w:p>
        </w:tc>
        <w:tc>
          <w:tcPr/>
          <w:p>
            <w:pPr>
              <w:pStyle w:val="Compact"/>
              <w:jc w:val="left"/>
            </w:pPr>
            <w:r>
              <w:t xml:space="preserve">5</w:t>
            </w:r>
          </w:p>
        </w:tc>
        <w:tc>
          <w:tcPr/>
          <w:p>
            <w:pPr>
              <w:pStyle w:val="Compact"/>
              <w:jc w:val="left"/>
            </w:pPr>
            <w:r>
              <w:t xml:space="preserve">240 min</w:t>
            </w:r>
          </w:p>
        </w:tc>
        <w:tc>
          <w:tcPr/>
          <w:p>
            <w:pPr>
              <w:pStyle w:val="Compact"/>
              <w:jc w:val="left"/>
            </w:pPr>
            <w:r>
              <w:t xml:space="preserve">3,200,000</w:t>
            </w:r>
          </w:p>
        </w:tc>
        <w:tc>
          <w:tcPr/>
          <w:p>
            <w:pPr>
              <w:pStyle w:val="Compact"/>
              <w:jc w:val="left"/>
            </w:pPr>
            <w:r>
              <w:t xml:space="preserve">16,000,000</w:t>
            </w:r>
          </w:p>
        </w:tc>
      </w:tr>
      <w:tr>
        <w:tc>
          <w:tcPr/>
          <w:p>
            <w:pPr>
              <w:pStyle w:val="Compact"/>
              <w:jc w:val="left"/>
            </w:pPr>
            <w:r>
              <w:t xml:space="preserve">6</w:t>
            </w:r>
          </w:p>
        </w:tc>
        <w:tc>
          <w:tcPr/>
          <w:p>
            <w:pPr>
              <w:pStyle w:val="Compact"/>
              <w:jc w:val="left"/>
            </w:pPr>
            <w:r>
              <w:t xml:space="preserve">Hairdresser Deep Conditioning &amp; Hair Restoration Therapy</w:t>
            </w:r>
          </w:p>
        </w:tc>
        <w:tc>
          <w:tcPr/>
          <w:p>
            <w:pPr>
              <w:pStyle w:val="Compact"/>
              <w:jc w:val="left"/>
            </w:pPr>
            <w:r>
              <w:t xml:space="preserve">25</w:t>
            </w:r>
          </w:p>
        </w:tc>
        <w:tc>
          <w:tcPr/>
          <w:p>
            <w:pPr>
              <w:pStyle w:val="Compact"/>
              <w:jc w:val="left"/>
            </w:pPr>
            <w:r>
              <w:t xml:space="preserve">45 min</w:t>
            </w:r>
          </w:p>
        </w:tc>
        <w:tc>
          <w:tcPr/>
          <w:p>
            <w:pPr>
              <w:pStyle w:val="Compact"/>
              <w:jc w:val="left"/>
            </w:pPr>
            <w:r>
              <w:t xml:space="preserve">450,000</w:t>
            </w:r>
          </w:p>
        </w:tc>
        <w:tc>
          <w:tcPr/>
          <w:p>
            <w:pPr>
              <w:pStyle w:val="Compact"/>
              <w:jc w:val="left"/>
            </w:pPr>
            <w:r>
              <w:t xml:space="preserve">11,250,000</w:t>
            </w:r>
          </w:p>
        </w:tc>
      </w:tr>
      <w:tr>
        <w:tc>
          <w:tcPr/>
          <w:p>
            <w:pPr>
              <w:pStyle w:val="Compact"/>
              <w:jc w:val="left"/>
            </w:pPr>
            <w:r>
              <w:t xml:space="preserve">7</w:t>
            </w:r>
          </w:p>
        </w:tc>
        <w:tc>
          <w:tcPr/>
          <w:p>
            <w:pPr>
              <w:pStyle w:val="Compact"/>
              <w:jc w:val="left"/>
            </w:pPr>
            <w:r>
              <w:t xml:space="preserve">Event-Day Hairdresser Updo &amp; Bridal Styling (Lead Stylist)</w:t>
            </w:r>
          </w:p>
        </w:tc>
        <w:tc>
          <w:tcPr/>
          <w:p>
            <w:pPr>
              <w:pStyle w:val="Compact"/>
              <w:jc w:val="left"/>
            </w:pPr>
            <w:r>
              <w:t xml:space="preserve">3</w:t>
            </w:r>
          </w:p>
        </w:tc>
        <w:tc>
          <w:tcPr/>
          <w:p>
            <w:pPr>
              <w:pStyle w:val="Compact"/>
              <w:jc w:val="left"/>
            </w:pPr>
            <w:r>
              <w:t xml:space="preserve">120 min</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8</w:t>
            </w:r>
          </w:p>
        </w:tc>
        <w:tc>
          <w:tcPr/>
          <w:p>
            <w:pPr>
              <w:pStyle w:val="Compact"/>
              <w:jc w:val="left"/>
            </w:pPr>
            <w:r>
              <w:t xml:space="preserve">Mobile Hairdresser Team – On-Site Service at Client Office (Indonesia Jakarta)</w:t>
            </w:r>
          </w:p>
        </w:tc>
        <w:tc>
          <w:tcPr/>
          <w:p>
            <w:pPr>
              <w:pStyle w:val="Compact"/>
              <w:jc w:val="left"/>
            </w:pPr>
            <w:r>
              <w:t xml:space="preserve">2</w:t>
            </w:r>
          </w:p>
        </w:tc>
        <w:tc>
          <w:tcPr/>
          <w:p>
            <w:pPr>
              <w:pStyle w:val="Compact"/>
              <w:jc w:val="left"/>
            </w:pPr>
            <w:r>
              <w:t xml:space="preserve">Full Day</w:t>
            </w:r>
          </w:p>
        </w:tc>
        <w:tc>
          <w:tcPr/>
          <w:p>
            <w:pPr>
              <w:pStyle w:val="Compact"/>
              <w:jc w:val="left"/>
            </w:pPr>
            <w:r>
              <w:t xml:space="preserve">7,500,000</w:t>
            </w:r>
          </w:p>
        </w:tc>
        <w:tc>
          <w:tcPr/>
          <w:p>
            <w:pPr>
              <w:pStyle w:val="Compact"/>
              <w:jc w:val="left"/>
            </w:pPr>
            <w:r>
              <w:t xml:space="preserve">15,000,000</w:t>
            </w:r>
          </w:p>
        </w:tc>
      </w:tr>
      <w:tr>
        <w:tc>
          <w:tcPr/>
          <w:p>
            <w:pPr>
              <w:pStyle w:val="Compact"/>
              <w:jc w:val="left"/>
            </w:pPr>
            <w:r>
              <w:t xml:space="preserve">9</w:t>
            </w:r>
          </w:p>
        </w:tc>
        <w:tc>
          <w:tcPr/>
          <w:p>
            <w:pPr>
              <w:pStyle w:val="Compact"/>
              <w:jc w:val="left"/>
            </w:pPr>
            <w:r>
              <w:t xml:space="preserve">Premium Hairdresser Product Kit (Shampoo, Conditioner, Styling Cream – Branded)</w:t>
            </w:r>
          </w:p>
        </w:tc>
        <w:tc>
          <w:tcPr/>
          <w:p>
            <w:pPr>
              <w:pStyle w:val="Compact"/>
              <w:jc w:val="left"/>
            </w:pPr>
            <w:r>
              <w:t xml:space="preserve">25</w:t>
            </w:r>
          </w:p>
        </w:tc>
        <w:tc>
          <w:tcPr/>
          <w:p>
            <w:pPr>
              <w:pStyle w:val="Compact"/>
              <w:jc w:val="left"/>
            </w:pPr>
            <w:r>
              <w:t xml:space="preserve">N/A</w:t>
            </w:r>
          </w:p>
        </w:tc>
        <w:tc>
          <w:tcPr/>
          <w:p>
            <w:pPr>
              <w:pStyle w:val="Compact"/>
              <w:jc w:val="left"/>
            </w:pPr>
            <w:r>
              <w:t xml:space="preserve">350,000</w:t>
            </w:r>
          </w:p>
        </w:tc>
        <w:tc>
          <w:tcPr/>
          <w:p>
            <w:pPr>
              <w:pStyle w:val="Compact"/>
              <w:jc w:val="left"/>
            </w:pPr>
            <w:r>
              <w:t xml:space="preserve">8,750,000</w:t>
            </w:r>
          </w:p>
        </w:tc>
      </w:tr>
      <w:tr>
        <w:tc>
          <w:tcPr/>
          <w:p>
            <w:pPr>
              <w:pStyle w:val="Compact"/>
              <w:jc w:val="left"/>
            </w:pPr>
            <w:r>
              <w:t xml:space="preserve">10</w:t>
            </w:r>
          </w:p>
        </w:tc>
        <w:tc>
          <w:tcPr/>
          <w:p>
            <w:pPr>
              <w:pStyle w:val="Compact"/>
              <w:jc w:val="left"/>
            </w:pPr>
            <w:r>
              <w:t xml:space="preserve">Hairdresser Aftercare &amp; Follow-Up Consultation (30-day post-service)</w:t>
            </w:r>
          </w:p>
        </w:tc>
        <w:tc>
          <w:tcPr/>
          <w:p>
            <w:pPr>
              <w:pStyle w:val="Compact"/>
              <w:jc w:val="left"/>
            </w:pPr>
            <w:r>
              <w:t xml:space="preserve">25</w:t>
            </w:r>
          </w:p>
        </w:tc>
        <w:tc>
          <w:tcPr/>
          <w:p>
            <w:pPr>
              <w:pStyle w:val="Compact"/>
              <w:jc w:val="left"/>
            </w:pPr>
            <w:r>
              <w:t xml:space="preserve">20 min</w:t>
            </w:r>
          </w:p>
        </w:tc>
        <w:tc>
          <w:tcPr/>
          <w:p>
            <w:pPr>
              <w:pStyle w:val="Compact"/>
              <w:jc w:val="left"/>
            </w:pPr>
            <w:r>
              <w:t xml:space="preserve">150,000</w:t>
            </w:r>
          </w:p>
        </w:tc>
        <w:tc>
          <w:tcPr/>
          <w:p>
            <w:pPr>
              <w:pStyle w:val="Compact"/>
              <w:jc w:val="left"/>
            </w:pPr>
            <w:r>
              <w:t xml:space="preserve">3,750,000</w:t>
            </w:r>
          </w:p>
        </w:tc>
      </w:tr>
      <w:tr>
        <w:tc>
          <w:tcPr>
            <w:gridSpan w:val="5"/>
          </w:tcPr>
          <w:p>
            <w:pPr>
              <w:pStyle w:val="Compact"/>
              <w:jc w:val="right"/>
            </w:pPr>
            <w:r>
              <w:t xml:space="preserve">Subtotal (IDR)</w:t>
            </w:r>
          </w:p>
        </w:tc>
        <w:tc>
          <w:tcPr/>
          <w:p>
            <w:pPr>
              <w:pStyle w:val="Compact"/>
              <w:jc w:val="left"/>
            </w:pPr>
            <w:r>
              <w:t xml:space="preserve">113,750,000</w:t>
            </w:r>
          </w:p>
        </w:tc>
      </w:tr>
      <w:tr>
        <w:tc>
          <w:tcPr>
            <w:gridSpan w:val="5"/>
          </w:tcPr>
          <w:p>
            <w:pPr>
              <w:pStyle w:val="Compact"/>
              <w:jc w:val="right"/>
            </w:pPr>
            <w:r>
              <w:t xml:space="preserve">VAT 11% (Indonesia Jakarta Tax Regulation)</w:t>
            </w:r>
          </w:p>
        </w:tc>
        <w:tc>
          <w:tcPr/>
          <w:p>
            <w:pPr>
              <w:pStyle w:val="Compact"/>
              <w:jc w:val="left"/>
            </w:pPr>
            <w:r>
              <w:t xml:space="preserve">12,512,500</w:t>
            </w:r>
          </w:p>
        </w:tc>
      </w:tr>
      <w:tr>
        <w:tc>
          <w:tcPr>
            <w:gridSpan w:val="5"/>
          </w:tcPr>
          <w:p>
            <w:pPr>
              <w:pStyle w:val="Compact"/>
              <w:jc w:val="right"/>
            </w:pPr>
            <w:r>
              <w:t xml:space="preserve">GRAND TOTAL (IDR)</w:t>
            </w:r>
          </w:p>
        </w:tc>
        <w:tc>
          <w:tcPr/>
          <w:p>
            <w:pPr>
              <w:pStyle w:val="Compact"/>
              <w:jc w:val="left"/>
            </w:pPr>
            <w:r>
              <w:t xml:space="preserve">126,262,500</w:t>
            </w:r>
          </w:p>
        </w:tc>
      </w:tr>
    </w:tbl>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After the validity period expires, all</w:t>
      </w:r>
      <w:r>
        <w:t xml:space="preserve"> </w:t>
      </w:r>
      <w:r>
        <w:t xml:space="preserve">Hairdresser</w:t>
      </w:r>
      <w:r>
        <w:t xml:space="preserve"> </w:t>
      </w:r>
      <w:r>
        <w:t xml:space="preserve">service rates and product costs are subject to revision based on current market conditions in</w:t>
      </w:r>
      <w:r>
        <w:t xml:space="preserve"> </w:t>
      </w:r>
      <w:r>
        <w:t xml:space="preserve">Indonesia Jakarta</w:t>
      </w:r>
      <w:r>
        <w:t xml:space="preserve">.</w:t>
      </w:r>
    </w:p>
    <w:p>
      <w:pPr>
        <w:numPr>
          <w:ilvl w:val="0"/>
          <w:numId w:val="1001"/>
        </w:numPr>
        <w:pStyle w:val="Compact"/>
      </w:pPr>
      <w:r>
        <w:t xml:space="preserve">All</w:t>
      </w:r>
      <w:r>
        <w:t xml:space="preserve"> </w:t>
      </w:r>
      <w:r>
        <w:t xml:space="preserve">Hairdresser</w:t>
      </w:r>
      <w:r>
        <w:t xml:space="preserve"> </w:t>
      </w:r>
      <w:r>
        <w:t xml:space="preserve">services listed in this</w:t>
      </w:r>
      <w:r>
        <w:t xml:space="preserve"> </w:t>
      </w:r>
      <w:r>
        <w:t xml:space="preserve">Quotation Estimate</w:t>
      </w:r>
      <w:r>
        <w:t xml:space="preserve"> </w:t>
      </w:r>
      <w:r>
        <w:t xml:space="preserve">will be performed by certified and experienced stylists from our</w:t>
      </w:r>
      <w:r>
        <w:t xml:space="preserve"> </w:t>
      </w:r>
      <w:r>
        <w:t xml:space="preserve">Indonesia Jakarta</w:t>
      </w:r>
      <w:r>
        <w:t xml:space="preserve"> </w:t>
      </w:r>
      <w:r>
        <w:t xml:space="preserve">headquarters team. Each</w:t>
      </w:r>
      <w:r>
        <w:t xml:space="preserve"> </w:t>
      </w:r>
      <w:r>
        <w:t xml:space="preserve">Hairdresser</w:t>
      </w:r>
      <w:r>
        <w:t xml:space="preserve"> </w:t>
      </w:r>
      <w:r>
        <w:t xml:space="preserve">professional holds a minimum of five (5) years of industry experience.</w:t>
      </w:r>
    </w:p>
    <w:p>
      <w:pPr>
        <w:numPr>
          <w:ilvl w:val="0"/>
          <w:numId w:val="1001"/>
        </w:numPr>
        <w:pStyle w:val="Compact"/>
      </w:pPr>
      <w:r>
        <w:t xml:space="preserve">Payment terms: Fifty percent (50%) of the total</w:t>
      </w:r>
      <w:r>
        <w:t xml:space="preserve"> </w:t>
      </w:r>
      <w:r>
        <w:t xml:space="preserve">Quotation Estimate</w:t>
      </w:r>
      <w:r>
        <w:t xml:space="preserve"> </w:t>
      </w:r>
      <w:r>
        <w:t xml:space="preserve">amount is due upon acceptance of this document. The remaining fifty percent (50%) shall be settled within seven (7) business days following the completion of all</w:t>
      </w:r>
      <w:r>
        <w:t xml:space="preserve"> </w:t>
      </w:r>
      <w:r>
        <w:t xml:space="preserve">Hairdresser</w:t>
      </w:r>
      <w:r>
        <w:t xml:space="preserve"> </w:t>
      </w:r>
      <w:r>
        <w:t xml:space="preserve">services.</w:t>
      </w:r>
    </w:p>
    <w:p>
      <w:pPr>
        <w:numPr>
          <w:ilvl w:val="0"/>
          <w:numId w:val="1001"/>
        </w:numPr>
        <w:pStyle w:val="Compact"/>
      </w:pPr>
      <w:r>
        <w:t xml:space="preserve">Payment shall be made via bank transfer to: Bank Mandiri, Account No. 137-00-2345678-9, a.n. PT. Jakarta Prestige Hair Studio, Indonesia Jakarta.</w:t>
      </w:r>
    </w:p>
    <w:p>
      <w:pPr>
        <w:numPr>
          <w:ilvl w:val="0"/>
          <w:numId w:val="1001"/>
        </w:numPr>
        <w:pStyle w:val="Compact"/>
      </w:pPr>
      <w:r>
        <w:t xml:space="preserve">Rescheduling of any</w:t>
      </w:r>
      <w:r>
        <w:t xml:space="preserve"> </w:t>
      </w:r>
      <w:r>
        <w:t xml:space="preserve">Hairdresser</w:t>
      </w:r>
      <w:r>
        <w:t xml:space="preserve"> </w:t>
      </w:r>
      <w:r>
        <w:t xml:space="preserve">appointment must be communicated at least forty-eight (48) hours in advance. Cancellations within twenty-four (24) hours will incur a 25% service fee of the affected</w:t>
      </w:r>
      <w:r>
        <w:t xml:space="preserve"> </w:t>
      </w:r>
      <w:r>
        <w:t xml:space="preserve">Hairdresser</w:t>
      </w:r>
      <w:r>
        <w:t xml:space="preserve"> </w:t>
      </w:r>
      <w:r>
        <w:t xml:space="preserve">session cost.</w:t>
      </w:r>
    </w:p>
    <w:p>
      <w:pPr>
        <w:numPr>
          <w:ilvl w:val="0"/>
          <w:numId w:val="1001"/>
        </w:numPr>
        <w:pStyle w:val="Compact"/>
      </w:pPr>
      <w:r>
        <w:t xml:space="preserve">All premium</w:t>
      </w:r>
      <w:r>
        <w:t xml:space="preserve"> </w:t>
      </w:r>
      <w:r>
        <w:t xml:space="preserve">Hairdresser</w:t>
      </w:r>
      <w:r>
        <w:t xml:space="preserve"> </w:t>
      </w:r>
      <w:r>
        <w:t xml:space="preserve">products used in this engagement are sourced from internationally recognized brands and are fully compliant with BPOM (Indonesian National Agency of Drug and Food Control) regulations applicable in</w:t>
      </w:r>
      <w:r>
        <w:t xml:space="preserve"> </w:t>
      </w:r>
      <w:r>
        <w:t xml:space="preserve">Indonesia Jakarta</w:t>
      </w:r>
      <w:r>
        <w:t xml:space="preserve">.</w:t>
      </w:r>
    </w:p>
    <w:p>
      <w:pPr>
        <w:numPr>
          <w:ilvl w:val="0"/>
          <w:numId w:val="1001"/>
        </w:numPr>
        <w:pStyle w:val="Compact"/>
      </w:pPr>
      <w:r>
        <w:t xml:space="preserve">This</w:t>
      </w:r>
      <w:r>
        <w:t xml:space="preserve"> </w:t>
      </w:r>
      <w:r>
        <w:t xml:space="preserve">Quotation Estimate</w:t>
      </w:r>
      <w:r>
        <w:t xml:space="preserve"> </w:t>
      </w:r>
      <w:r>
        <w:t xml:space="preserve">does not include travel or accommodation costs for the</w:t>
      </w:r>
      <w:r>
        <w:t xml:space="preserve"> </w:t>
      </w:r>
      <w:r>
        <w:t xml:space="preserve">Hairdresser</w:t>
      </w:r>
      <w:r>
        <w:t xml:space="preserve"> </w:t>
      </w:r>
      <w:r>
        <w:t xml:space="preserve">team should the service location extend beyond the Greater</w:t>
      </w:r>
      <w:r>
        <w:t xml:space="preserve"> </w:t>
      </w:r>
      <w:r>
        <w:t xml:space="preserve">Indonesia Jakarta</w:t>
      </w:r>
      <w:r>
        <w:t xml:space="preserve"> </w:t>
      </w:r>
      <w:r>
        <w:t xml:space="preserve">metropolitan area (South, North, Central, East, and West Jakarta).</w:t>
      </w:r>
    </w:p>
    <w:p>
      <w:pPr>
        <w:numPr>
          <w:ilvl w:val="0"/>
          <w:numId w:val="1001"/>
        </w:numPr>
        <w:pStyle w:val="Compact"/>
      </w:pPr>
      <w:r>
        <w:t xml:space="preserve">Any additional</w:t>
      </w:r>
      <w:r>
        <w:t xml:space="preserve"> </w:t>
      </w:r>
      <w:r>
        <w:t xml:space="preserve">Hairdresser</w:t>
      </w:r>
      <w:r>
        <w:t xml:space="preserve"> </w:t>
      </w:r>
      <w:r>
        <w:t xml:space="preserve">services requested beyond the scope of this</w:t>
      </w:r>
      <w:r>
        <w:t xml:space="preserve"> </w:t>
      </w:r>
      <w:r>
        <w:t xml:space="preserve">Quotation Estimate</w:t>
      </w:r>
      <w:r>
        <w:t xml:space="preserve"> </w:t>
      </w:r>
      <w:r>
        <w:t xml:space="preserve">will be subject to a separate written amendment and additional charges at our standard</w:t>
      </w:r>
      <w:r>
        <w:t xml:space="preserve"> </w:t>
      </w:r>
      <w:r>
        <w:t xml:space="preserve">Indonesia Jakarta</w:t>
      </w:r>
      <w:r>
        <w:t xml:space="preserve"> </w:t>
      </w:r>
      <w:r>
        <w:t xml:space="preserve">rate card.</w:t>
      </w:r>
    </w:p>
    <w:p>
      <w:pPr>
        <w:numPr>
          <w:ilvl w:val="0"/>
          <w:numId w:val="1001"/>
        </w:numPr>
        <w:pStyle w:val="Compact"/>
      </w:pPr>
      <w:r>
        <w:t xml:space="preserve">Confidentiality: All client information and corporate details provided in connection with this</w:t>
      </w:r>
      <w:r>
        <w:t xml:space="preserve"> </w:t>
      </w:r>
      <w:r>
        <w:t xml:space="preserve">Quotation Estimate</w:t>
      </w:r>
      <w:r>
        <w:t xml:space="preserve"> </w:t>
      </w:r>
      <w:r>
        <w:t xml:space="preserve">and subsequent</w:t>
      </w:r>
      <w:r>
        <w:t xml:space="preserve"> </w:t>
      </w:r>
      <w:r>
        <w:t xml:space="preserve">Hairdresser</w:t>
      </w:r>
      <w:r>
        <w:t xml:space="preserve"> </w:t>
      </w:r>
      <w:r>
        <w:t xml:space="preserve">engagements shall be treated as strictly confidential in accordance with Indonesian data protection law.</w:t>
      </w:r>
    </w:p>
    <w:p>
      <w:pPr>
        <w:numPr>
          <w:ilvl w:val="0"/>
          <w:numId w:val="1001"/>
        </w:numPr>
        <w:pStyle w:val="Compact"/>
      </w:pPr>
      <w:r>
        <w:t xml:space="preserve">This</w:t>
      </w:r>
      <w:r>
        <w:t xml:space="preserve"> </w:t>
      </w:r>
      <w:r>
        <w:t xml:space="preserve">Quotation Estimate</w:t>
      </w:r>
      <w:r>
        <w:t xml:space="preserve"> </w:t>
      </w:r>
      <w:r>
        <w:t xml:space="preserve">becomes a binding agreement upon written acceptance by both parties. In the event of any dispute, the laws of the Republic of Indonesia, specifically those governing commercial transactions in</w:t>
      </w:r>
      <w:r>
        <w:t xml:space="preserve"> </w:t>
      </w:r>
      <w:r>
        <w:t xml:space="preserve">Indonesia Jakarta</w:t>
      </w:r>
      <w:r>
        <w:t xml:space="preserve">, shall apply.</w:t>
      </w:r>
    </w:p>
    <w:p>
      <w:pPr>
        <w:pStyle w:val="FirstParagraph"/>
      </w:pPr>
      <w:r>
        <w:rPr>
          <w:bCs/>
          <w:b/>
        </w:rPr>
        <w:t xml:space="preserve">Note:</w:t>
      </w:r>
      <w:r>
        <w:t xml:space="preserve"> </w:t>
      </w:r>
      <w:r>
        <w:t xml:space="preserve">This Quotation Estimate has been prepared specifically for the client named above and is non-transferable. PT. Jakarta Prestige Hair Studio reserves the right to modify the scope of Hairdresser services with prior written consent from the client. For any inquiries or clarifications regarding this Quotation Estimate, please contact our Indonesia Jakarta client relations team at +62 21 5790 1234 or quotes@jakartaprestige.id.</w:t>
      </w:r>
    </w:p>
    <w:p>
      <w:pPr>
        <w:pStyle w:val="BodyText"/>
      </w:pPr>
      <w:r>
        <w:rPr>
          <w:bCs/>
          <w:b/>
        </w:rPr>
        <w:t xml:space="preserve">Prepared By:</w:t>
      </w:r>
      <w:r>
        <w:br/>
      </w:r>
      <w:r>
        <w:t xml:space="preserve">Sari Dewi – Senior Account Manager</w:t>
      </w:r>
      <w:r>
        <w:br/>
      </w:r>
      <w:r>
        <w:t xml:space="preserve">PT. Jakarta Prestige Hair Studio</w:t>
      </w:r>
      <w:r>
        <w:br/>
      </w:r>
      <w:r>
        <w:t xml:space="preserve">Indonesia Jakarta</w:t>
      </w:r>
    </w:p>
    <w:p>
      <w:pPr>
        <w:pStyle w:val="BodyText"/>
      </w:pPr>
      <w:r>
        <w:rPr>
          <w:bCs/>
          <w:b/>
        </w:rPr>
        <w:t xml:space="preserve">Accepted By (Client):</w:t>
      </w:r>
      <w:r>
        <w:br/>
      </w:r>
      <w:r>
        <w:t xml:space="preserve">______________________________</w:t>
      </w:r>
      <w:r>
        <w:br/>
      </w:r>
      <w:r>
        <w:t xml:space="preserve">Name / Title /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Indonesia Jakarta</dc:title>
  <dc:creator/>
  <dc:language>en</dc:language>
  <cp:keywords/>
  <dcterms:created xsi:type="dcterms:W3CDTF">2026-10-10T04:55:26Z</dcterms:created>
  <dcterms:modified xsi:type="dcterms:W3CDTF">2026-10-10T04:55:26Z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