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Hairdresser Services — Israel Tel Aviv</w:t>
      </w:r>
    </w:p>
    <w:p>
      <w:pPr>
        <w:pStyle w:val="BodyText"/>
      </w:pPr>
      <w:r>
        <w:t xml:space="preserve">Document Reference: QTE-TLV-2025-04871</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Salon Lumière Tel Aviv</w:t>
      </w:r>
    </w:p>
    <w:p>
      <w:pPr>
        <w:pStyle w:val="BodyText"/>
      </w:pPr>
      <w:r>
        <w:rPr>
          <w:bCs/>
          <w:b/>
        </w:rPr>
        <w:t xml:space="preserve">Client Name:</w:t>
      </w:r>
      <w:r>
        <w:t xml:space="preserve"> </w:t>
      </w:r>
      <w:r>
        <w:t xml:space="preserve">[Client Full Name]</w:t>
      </w:r>
      <w:r>
        <w:br/>
      </w:r>
      <w:r>
        <w:rPr>
          <w:bCs/>
          <w:b/>
        </w:rPr>
        <w:t xml:space="preserve">Client Address:</w:t>
      </w:r>
      <w:r>
        <w:t xml:space="preserve"> </w:t>
      </w:r>
      <w:r>
        <w:t xml:space="preserve">[Street, City, Israel]</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Salon Lumière, a licensed and registered</w:t>
      </w:r>
      <w:r>
        <w:t xml:space="preserve"> </w:t>
      </w:r>
      <w:r>
        <w:t xml:space="preserve">Hairdresser</w:t>
      </w:r>
      <w:r>
        <w:t xml:space="preserve"> </w:t>
      </w:r>
      <w:r>
        <w:t xml:space="preserve">establishment operating in the heart of</w:t>
      </w:r>
      <w:r>
        <w:t xml:space="preserve"> </w:t>
      </w:r>
      <w:r>
        <w:t xml:space="preserve">Israel Tel Aviv</w:t>
      </w:r>
      <w:r>
        <w:t xml:space="preserve">, specifically located at 42 Rothschild Boulevard, Tel Aviv-Yafo, 64938, Israel. The purpose of this document is to provide the client with a comprehensive, itemized breakdown of all professional hairdressing services, products, and associated costs that will be delivered as part of the agreed-upon engagement. This</w:t>
      </w:r>
      <w:r>
        <w:t xml:space="preserve"> </w:t>
      </w:r>
      <w:r>
        <w:t xml:space="preserve">Quotation Estimate</w:t>
      </w:r>
      <w:r>
        <w:t xml:space="preserve"> </w:t>
      </w:r>
      <w:r>
        <w:t xml:space="preserve">serves as a formal, non-binding proposal and does not constitute a final invoice until the client provides written acceptance of the terms outlined herein.</w:t>
      </w:r>
    </w:p>
    <w:p>
      <w:pPr>
        <w:pStyle w:val="BodyText"/>
      </w:pPr>
      <w:r>
        <w:t xml:space="preserve">As a premier</w:t>
      </w:r>
      <w:r>
        <w:t xml:space="preserve"> </w:t>
      </w:r>
      <w:r>
        <w:t xml:space="preserve">Hairdresser</w:t>
      </w:r>
      <w:r>
        <w:t xml:space="preserve"> </w:t>
      </w:r>
      <w:r>
        <w:t xml:space="preserve">studio in</w:t>
      </w:r>
      <w:r>
        <w:t xml:space="preserve"> </w:t>
      </w:r>
      <w:r>
        <w:t xml:space="preserve">Israel Tel Aviv</w:t>
      </w:r>
      <w:r>
        <w:t xml:space="preserve">, we pride ourselves on delivering world-class grooming, styling, coloring, and hair care treatments that meet the highest international standards while respecting the local aesthetic preferences and cultural expectations of our diverse clientele in the Tel Aviv metropolitan area.</w:t>
      </w:r>
    </w:p>
    <w:bookmarkEnd w:id="21"/>
    <w:bookmarkStart w:id="22" w:name="scope-of-hairdresser-services"/>
    <w:p>
      <w:pPr>
        <w:pStyle w:val="Heading2"/>
      </w:pPr>
      <w:r>
        <w:t xml:space="preserve">2. Scope of Hairdresser Services</w:t>
      </w:r>
    </w:p>
    <w:p>
      <w:pPr>
        <w:pStyle w:val="FirstParagraph"/>
      </w:pPr>
      <w:r>
        <w:t xml:space="preserve">The following</w:t>
      </w:r>
      <w:r>
        <w:t xml:space="preserve"> </w:t>
      </w:r>
      <w:r>
        <w:t xml:space="preserve">Hairdresser</w:t>
      </w:r>
      <w:r>
        <w:t xml:space="preserve"> </w:t>
      </w:r>
      <w:r>
        <w:t xml:space="preserve">services have been requested by the client and are included in this</w:t>
      </w:r>
      <w:r>
        <w:t xml:space="preserve"> </w:t>
      </w:r>
      <w:r>
        <w:t xml:space="preserve">Quotation Estimate</w:t>
      </w:r>
      <w:r>
        <w:t xml:space="preserve">. All treatments will be performed by a senior stylist with a minimum of ten years of professional experience in the</w:t>
      </w:r>
      <w:r>
        <w:t xml:space="preserve"> </w:t>
      </w:r>
      <w:r>
        <w:t xml:space="preserve">Hairdresser</w:t>
      </w:r>
      <w:r>
        <w:t xml:space="preserve"> </w:t>
      </w:r>
      <w:r>
        <w:t xml:space="preserve">industry, registered with the Israel Ministry of Health and holding a valid professional license to practice in</w:t>
      </w:r>
      <w:r>
        <w:t xml:space="preserve"> </w:t>
      </w:r>
      <w:r>
        <w:t xml:space="preserve">Israel Tel Aviv</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Consultation &amp; Hair Analysis (Scalp, Texture, Growth Pattern)</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2</w:t>
            </w:r>
          </w:p>
        </w:tc>
        <w:tc>
          <w:tcPr/>
          <w:p>
            <w:pPr>
              <w:pStyle w:val="Compact"/>
              <w:jc w:val="left"/>
            </w:pPr>
            <w:r>
              <w:t xml:space="preserve">Full Precision Cut &amp; Styling (Includes Wash, Blow-Dry, and Finish)</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450</w:t>
            </w:r>
          </w:p>
        </w:tc>
        <w:tc>
          <w:tcPr/>
          <w:p>
            <w:pPr>
              <w:pStyle w:val="Compact"/>
              <w:jc w:val="left"/>
            </w:pPr>
            <w:r>
              <w:t xml:space="preserve">450</w:t>
            </w:r>
          </w:p>
        </w:tc>
      </w:tr>
      <w:tr>
        <w:tc>
          <w:tcPr/>
          <w:p>
            <w:pPr>
              <w:pStyle w:val="Compact"/>
              <w:jc w:val="left"/>
            </w:pPr>
            <w:r>
              <w:t xml:space="preserve">3</w:t>
            </w:r>
          </w:p>
        </w:tc>
        <w:tc>
          <w:tcPr/>
          <w:p>
            <w:pPr>
              <w:pStyle w:val="Compact"/>
              <w:jc w:val="left"/>
            </w:pPr>
            <w:r>
              <w:t xml:space="preserve">Professional Color Treatment (Single-Process, Ammonia-Free Formula)</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750</w:t>
            </w:r>
          </w:p>
        </w:tc>
        <w:tc>
          <w:tcPr/>
          <w:p>
            <w:pPr>
              <w:pStyle w:val="Compact"/>
              <w:jc w:val="left"/>
            </w:pPr>
            <w:r>
              <w:t xml:space="preserve">750</w:t>
            </w:r>
          </w:p>
        </w:tc>
      </w:tr>
      <w:tr>
        <w:tc>
          <w:tcPr/>
          <w:p>
            <w:pPr>
              <w:pStyle w:val="Compact"/>
              <w:jc w:val="left"/>
            </w:pPr>
            <w:r>
              <w:t xml:space="preserve">4</w:t>
            </w:r>
          </w:p>
        </w:tc>
        <w:tc>
          <w:tcPr/>
          <w:p>
            <w:pPr>
              <w:pStyle w:val="Compact"/>
              <w:jc w:val="left"/>
            </w:pPr>
            <w:r>
              <w:t xml:space="preserve">Deep Conditioning &amp; Keratin Repair Treatment</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380</w:t>
            </w:r>
          </w:p>
        </w:tc>
        <w:tc>
          <w:tcPr/>
          <w:p>
            <w:pPr>
              <w:pStyle w:val="Compact"/>
              <w:jc w:val="left"/>
            </w:pPr>
            <w:r>
              <w:t xml:space="preserve">380</w:t>
            </w:r>
          </w:p>
        </w:tc>
      </w:tr>
      <w:tr>
        <w:tc>
          <w:tcPr/>
          <w:p>
            <w:pPr>
              <w:pStyle w:val="Compact"/>
              <w:jc w:val="left"/>
            </w:pPr>
            <w:r>
              <w:t xml:space="preserve">5</w:t>
            </w:r>
          </w:p>
        </w:tc>
        <w:tc>
          <w:tcPr/>
          <w:p>
            <w:pPr>
              <w:pStyle w:val="Compact"/>
              <w:jc w:val="left"/>
            </w:pPr>
            <w:r>
              <w:t xml:space="preserve">Scalp Massage &amp; Aromatherapy Add-On</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6</w:t>
            </w:r>
          </w:p>
        </w:tc>
        <w:tc>
          <w:tcPr/>
          <w:p>
            <w:pPr>
              <w:pStyle w:val="Compact"/>
              <w:jc w:val="left"/>
            </w:pPr>
            <w:r>
              <w:t xml:space="preserve">Take-Home Product Kit (Shampoo, Conditioner, Heat Protectant — 250ml each)</w:t>
            </w:r>
          </w:p>
        </w:tc>
        <w:tc>
          <w:tcPr/>
          <w:p>
            <w:pPr>
              <w:pStyle w:val="Compact"/>
              <w:jc w:val="left"/>
            </w:pPr>
            <w:r>
              <w:t xml:space="preserve">N/A</w:t>
            </w:r>
          </w:p>
        </w:tc>
        <w:tc>
          <w:tcPr/>
          <w:p>
            <w:pPr>
              <w:pStyle w:val="Compact"/>
              <w:jc w:val="left"/>
            </w:pPr>
            <w:r>
              <w:t xml:space="preserve">1</w:t>
            </w:r>
          </w:p>
        </w:tc>
        <w:tc>
          <w:tcPr/>
          <w:p>
            <w:pPr>
              <w:pStyle w:val="Compact"/>
              <w:jc w:val="left"/>
            </w:pPr>
            <w:r>
              <w:t xml:space="preserve">320</w:t>
            </w:r>
          </w:p>
        </w:tc>
        <w:tc>
          <w:tcPr/>
          <w:p>
            <w:pPr>
              <w:pStyle w:val="Compact"/>
              <w:jc w:val="left"/>
            </w:pPr>
            <w:r>
              <w:t xml:space="preserve">320</w:t>
            </w:r>
          </w:p>
        </w:tc>
      </w:tr>
      <w:tr>
        <w:tc>
          <w:tcPr/>
          <w:p>
            <w:pPr>
              <w:pStyle w:val="Compact"/>
              <w:jc w:val="left"/>
            </w:pPr>
            <w:r>
              <w:t xml:space="preserve">7</w:t>
            </w:r>
          </w:p>
        </w:tc>
        <w:tc>
          <w:tcPr/>
          <w:p>
            <w:pPr>
              <w:pStyle w:val="Compact"/>
              <w:jc w:val="left"/>
            </w:pPr>
            <w:r>
              <w:t xml:space="preserve">Follow-Up Adjustment Appointment (Within 14 Days, No Additional Charge)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Hairdresser Services &amp; Products)</w:t>
            </w:r>
          </w:p>
        </w:tc>
        <w:tc>
          <w:tcPr/>
          <w:p>
            <w:pPr>
              <w:pStyle w:val="Compact"/>
              <w:jc w:val="right"/>
            </w:pPr>
            <w:r>
              <w:t xml:space="preserve">2,170.00 ILS</w:t>
            </w:r>
          </w:p>
        </w:tc>
      </w:tr>
      <w:tr>
        <w:tc>
          <w:tcPr/>
          <w:p>
            <w:pPr>
              <w:pStyle w:val="Compact"/>
              <w:jc w:val="left"/>
            </w:pPr>
            <w:r>
              <w:t xml:space="preserve">VAT (18% — Value Added Tax, Israel)</w:t>
            </w:r>
          </w:p>
        </w:tc>
        <w:tc>
          <w:tcPr/>
          <w:p>
            <w:pPr>
              <w:pStyle w:val="Compact"/>
              <w:jc w:val="right"/>
            </w:pPr>
            <w:r>
              <w:t xml:space="preserve">390.60 ILS</w:t>
            </w:r>
          </w:p>
        </w:tc>
      </w:tr>
      <w:tr>
        <w:tc>
          <w:tcPr/>
          <w:p>
            <w:pPr>
              <w:pStyle w:val="Compact"/>
              <w:jc w:val="left"/>
            </w:pPr>
            <w:r>
              <w:t xml:space="preserve">Total Amount Due (Including VAT)</w:t>
            </w:r>
          </w:p>
        </w:tc>
        <w:tc>
          <w:tcPr/>
          <w:p>
            <w:pPr>
              <w:pStyle w:val="Compact"/>
              <w:jc w:val="right"/>
            </w:pPr>
            <w:r>
              <w:t xml:space="preserve">2,560.60 ILS</w:t>
            </w:r>
          </w:p>
        </w:tc>
      </w:tr>
    </w:tbl>
    <w:p>
      <w:pPr>
        <w:pStyle w:val="BodyText"/>
      </w:pPr>
      <w:r>
        <w:t xml:space="preserve">* All prices are quoted in Israeli New Shekels (ILS / –). The 18% VAT rate is in accordance with the Israel Tax Authority regulations applicable to personal services in</w:t>
      </w:r>
      <w:r>
        <w:t xml:space="preserve"> </w:t>
      </w:r>
      <w:r>
        <w:t xml:space="preserve">Israel Tel Aviv</w:t>
      </w:r>
      <w:r>
        <w:t xml:space="preserve">. This</w:t>
      </w:r>
      <w:r>
        <w:t xml:space="preserve"> </w:t>
      </w:r>
      <w:r>
        <w:t xml:space="preserve">Quotation Estimate</w:t>
      </w:r>
      <w:r>
        <w:t xml:space="preserve"> </w:t>
      </w:r>
      <w:r>
        <w:t xml:space="preserve">does not include any additional services that may be requested on the day of the appointment beyond the scope listed above.</w:t>
      </w:r>
    </w:p>
    <w:bookmarkEnd w:id="23"/>
    <w:bookmarkStart w:id="24" w:name="Xdb5762ffe5e1dda16e087650c7a063f054e1ee7"/>
    <w:p>
      <w:pPr>
        <w:pStyle w:val="Heading2"/>
      </w:pPr>
      <w:r>
        <w:t xml:space="preserve">4. Terms and Conditions of the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for</w:t>
      </w:r>
      <w:r>
        <w:t xml:space="preserve"> </w:t>
      </w:r>
      <w:r>
        <w:t xml:space="preserve">Hairdresser</w:t>
      </w:r>
      <w:r>
        <w:t xml:space="preserve"> </w:t>
      </w:r>
      <w:r>
        <w:t xml:space="preserve">services and products may be subject to revision based on market conditions in</w:t>
      </w:r>
      <w:r>
        <w:t xml:space="preserve"> </w:t>
      </w:r>
      <w:r>
        <w:t xml:space="preserve">Israel Tel Aviv</w:t>
      </w:r>
      <w:r>
        <w:t xml:space="preserve">.</w:t>
      </w:r>
    </w:p>
    <w:p>
      <w:pPr>
        <w:pStyle w:val="BodyText"/>
      </w:pPr>
      <w:r>
        <w:rPr>
          <w:bCs/>
          <w:b/>
        </w:rPr>
        <w:t xml:space="preserve">4.2 Payment Terms:</w:t>
      </w:r>
      <w:r>
        <w:t xml:space="preserve"> </w:t>
      </w:r>
      <w:r>
        <w:t xml:space="preserve">Full payment is due at the time of service completion. We accept credit/debit cards (Visa, Mastercard, Amex), Bank of Israel mobile payments (Bit), and cash. A 20% deposit is required to confirm the appointment slot.</w:t>
      </w:r>
    </w:p>
    <w:p>
      <w:pPr>
        <w:pStyle w:val="BodyText"/>
      </w:pPr>
      <w:r>
        <w:rPr>
          <w:bCs/>
          <w:b/>
        </w:rPr>
        <w:t xml:space="preserve">4.3 Cancellation Policy:</w:t>
      </w:r>
      <w:r>
        <w:t xml:space="preserve"> </w:t>
      </w:r>
      <w:r>
        <w:t xml:space="preserve">Cancellations must be made at least 48 hours in advance. Late cancellations or no-shows will incur a 50% fee of the total</w:t>
      </w:r>
      <w:r>
        <w:t xml:space="preserve"> </w:t>
      </w:r>
      <w:r>
        <w:t xml:space="preserve">Quotation Estimate</w:t>
      </w:r>
      <w:r>
        <w:t xml:space="preserve"> </w:t>
      </w:r>
      <w:r>
        <w:t xml:space="preserve">value.</w:t>
      </w:r>
    </w:p>
    <w:p>
      <w:pPr>
        <w:pStyle w:val="BodyText"/>
      </w:pPr>
      <w:r>
        <w:rPr>
          <w:bCs/>
          <w:b/>
        </w:rPr>
        <w:t xml:space="preserve">4.4 Allergies &amp; Sensitivities:</w:t>
      </w:r>
      <w:r>
        <w:t xml:space="preserve"> </w:t>
      </w:r>
      <w:r>
        <w:t xml:space="preserve">The client is responsible for disclosing any known allergies, scalp conditions, or prior chemical treatments. The</w:t>
      </w:r>
      <w:r>
        <w:t xml:space="preserve"> </w:t>
      </w:r>
      <w:r>
        <w:t xml:space="preserve">Hairdresser</w:t>
      </w:r>
      <w:r>
        <w:t xml:space="preserve"> </w:t>
      </w:r>
      <w:r>
        <w:t xml:space="preserve">will perform a mandatory patch test 48 hours before any color application.</w:t>
      </w:r>
    </w:p>
    <w:p>
      <w:pPr>
        <w:pStyle w:val="BodyText"/>
      </w:pPr>
      <w:r>
        <w:rPr>
          <w:bCs/>
          <w:b/>
        </w:rPr>
        <w:t xml:space="preserve">4.5 Satisfaction Guarantee:</w:t>
      </w:r>
      <w:r>
        <w:t xml:space="preserve"> </w:t>
      </w:r>
      <w:r>
        <w:t xml:space="preserve">Salon Lumière guarantees full satisfaction with the</w:t>
      </w:r>
      <w:r>
        <w:t xml:space="preserve"> </w:t>
      </w:r>
      <w:r>
        <w:t xml:space="preserve">Hairdresser</w:t>
      </w:r>
      <w:r>
        <w:t xml:space="preserve"> </w:t>
      </w:r>
      <w:r>
        <w:t xml:space="preserve">service. If the client is not satisfied with the cut or color, a complimentary adjustment will be provided within fourteen (14) days, subject to the stylist's assessment.</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disputes arising from the services described herein shall be governed by the laws of the State of Israel, with jurisdiction vested in the competent courts of</w:t>
      </w:r>
      <w:r>
        <w:t xml:space="preserve"> </w:t>
      </w:r>
      <w:r>
        <w:t xml:space="preserve">Israel Tel Aviv</w:t>
      </w:r>
      <w:r>
        <w:t xml:space="preserve">.</w:t>
      </w:r>
    </w:p>
    <w:p>
      <w:pPr>
        <w:pStyle w:val="BodyText"/>
      </w:pPr>
      <w:r>
        <w:rPr>
          <w:bCs/>
          <w:b/>
        </w:rPr>
        <w:t xml:space="preserve">4.7 Privacy:</w:t>
      </w:r>
      <w:r>
        <w:t xml:space="preserve"> </w:t>
      </w:r>
      <w:r>
        <w:t xml:space="preserve">All client information is handled in accordance with the Israeli Privacy Protection Law, 5741-1981, and the updated regulations of the Israel Privacy Protection Authority.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they have received, reviewed, and understood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performed in</w:t>
      </w:r>
      <w:r>
        <w:t xml:space="preserve"> </w:t>
      </w:r>
      <w:r>
        <w:t xml:space="preserve">Israel Tel Aviv</w:t>
      </w:r>
      <w:r>
        <w:t xml:space="preserve">. The client agrees to the terms, conditions, pricing, and scope of work as detailed in this document. This signature does not obligate the client to proceed; however, it confirms that the</w:t>
      </w:r>
      <w:r>
        <w:t xml:space="preserve"> </w:t>
      </w:r>
      <w:r>
        <w:t xml:space="preserve">Quotation Estimate</w:t>
      </w:r>
      <w:r>
        <w:t xml:space="preserve"> </w:t>
      </w:r>
      <w:r>
        <w:t xml:space="preserve">has been presented and understood.</w:t>
      </w:r>
    </w:p>
    <w:bookmarkEnd w:id="25"/>
    <w:p>
      <w:pPr>
        <w:pStyle w:val="BodyText"/>
      </w:pPr>
      <w:r>
        <w:t xml:space="preserve">Client Signature &amp; Date</w:t>
      </w:r>
    </w:p>
    <w:p>
      <w:pPr>
        <w:pStyle w:val="BodyText"/>
      </w:pPr>
      <w:r>
        <w:t xml:space="preserve">Salon Lumière — Authorized Representative</w:t>
      </w:r>
      <w:r>
        <w:br/>
      </w:r>
      <w:r>
        <w:rPr>
          <w:iCs/>
          <w:i/>
        </w:rPr>
        <w:t xml:space="preserve">Hairdresser License No. TLV-2019-00432</w:t>
      </w:r>
    </w:p>
    <w:p>
      <w:pPr>
        <w:pStyle w:val="BodyText"/>
      </w:pPr>
      <w:r>
        <w:rPr>
          <w:bCs/>
          <w:b/>
        </w:rPr>
        <w:t xml:space="preserve">Salon Lumière</w:t>
      </w:r>
      <w:r>
        <w:t xml:space="preserve"> </w:t>
      </w:r>
      <w:r>
        <w:t xml:space="preserve">— 42 Rothschild Boulevard, Tel Aviv-Yafo 64938, Israel</w:t>
      </w:r>
      <w:r>
        <w:br/>
      </w:r>
      <w:r>
        <w:t xml:space="preserve">Tel: +972-3-512-XXXX  |  Email: info@salonlumiere-tlv.co.il  |  VAT Reg. No: 51-XXXXXXX-X</w:t>
      </w:r>
      <w:r>
        <w:br/>
      </w:r>
      <w:r>
        <w:t xml:space="preserve">This Quotation Estimate was generated on 15 June 2025. For inquiries regarding this Hairdresser service quotation in Israel Tel Aviv, please contact our front desk during business hours (Sunday–Thursday, 9:00–19:00; Friday, 9:00–14:00).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Israel Tel Aviv</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