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Bangladesh</w:t>
      </w:r>
      <w:r>
        <w:t xml:space="preserve"> </w:t>
      </w:r>
      <w:r>
        <w:t xml:space="preserve">Dhaka</w:t>
      </w:r>
    </w:p>
    <w:tbl>
      <w:tblPr>
        <w:tblStyle w:val="Table"/>
        <w:tblW w:type="pct" w:w="5000"/>
        <w:tblLook w:firstRow="0" w:lastRow="0" w:firstColumn="0" w:lastColumn="0" w:noHBand="0" w:noVBand="0" w:val="0000"/>
      </w:tblPr>
      <w:tblGrid>
        <w:gridCol w:w="7920"/>
      </w:tblGrid>
      <w:tr>
        <w:tc>
          <w:tcPr/>
          <w:p>
            <w:pPr>
              <w:pStyle w:val="Heading1"/>
              <w:jc w:val="left"/>
            </w:pPr>
            <w:bookmarkStart w:id="20" w:name="quotation-estimate"/>
            <w:r>
              <w:t xml:space="preserve">QUOTATION ESTIMATE</w:t>
            </w:r>
            <w:bookmarkEnd w:id="20"/>
          </w:p>
          <w:p>
            <w:pPr>
              <w:jc w:val="left"/>
            </w:pPr>
            <w:r>
              <w:t xml:space="preserve">Human Resources Manager – Recruitment &amp; Retention Services</w:t>
            </w:r>
          </w:p>
          <w:p>
            <w:pPr>
              <w:jc w:val="left"/>
            </w:pPr>
            <w:r>
              <w:t xml:space="preserve">Serving Clients Across Bangladesh Dhaka and Surrounding Regions</w:t>
            </w:r>
          </w:p>
        </w:tc>
      </w:tr>
    </w:tbl>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Quotation Estimate No.:</w:t>
            </w:r>
            <w:r>
              <w:t xml:space="preserve"> </w:t>
            </w:r>
            <w:r>
              <w:t xml:space="preserve">QTE-DHK-HRM-2025-0472</w:t>
            </w:r>
          </w:p>
          <w:p>
            <w:pPr>
              <w:jc w:val="left"/>
            </w:pPr>
            <w:r>
              <w:rPr>
                <w:bCs/>
                <w:b/>
              </w:rPr>
              <w:t xml:space="preserve">Date of Issue:</w:t>
            </w:r>
            <w:r>
              <w:t xml:space="preserve"> </w:t>
            </w:r>
            <w:r>
              <w:t xml:space="preserve">15 June 2025</w:t>
            </w:r>
          </w:p>
          <w:p>
            <w:pPr>
              <w:jc w:val="left"/>
            </w:pPr>
            <w:r>
              <w:rPr>
                <w:bCs/>
                <w:b/>
              </w:rPr>
              <w:t xml:space="preserve">Valid Until:</w:t>
            </w:r>
            <w:r>
              <w:t xml:space="preserve"> </w:t>
            </w:r>
            <w:r>
              <w:t xml:space="preserve">15 July 2025 (30 calendar days)</w:t>
            </w:r>
          </w:p>
          <w:p>
            <w:pPr>
              <w:jc w:val="left"/>
            </w:pPr>
            <w:r>
              <w:rPr>
                <w:bCs/>
                <w:b/>
              </w:rPr>
              <w:t xml:space="preserve">Prepared By:</w:t>
            </w:r>
            <w:r>
              <w:t xml:space="preserve"> </w:t>
            </w:r>
            <w:r>
              <w:t xml:space="preserve">Dhaka Talent Solutions Ltd.</w:t>
            </w:r>
          </w:p>
          <w:p>
            <w:pPr>
              <w:jc w:val="left"/>
            </w:pPr>
            <w:r>
              <w:rPr>
                <w:bCs/>
                <w:b/>
              </w:rPr>
              <w:t xml:space="preserve">Address:</w:t>
            </w:r>
            <w:r>
              <w:t xml:space="preserve"> </w:t>
            </w:r>
            <w:r>
              <w:t xml:space="preserve">Level 7, Bashundhara City Tower A, Road 11, Gulshan-2, Bangladesh Dhaka-1212</w:t>
            </w:r>
          </w:p>
          <w:p>
            <w:pPr>
              <w:jc w:val="left"/>
            </w:pPr>
            <w:r>
              <w:rPr>
                <w:bCs/>
                <w:b/>
              </w:rPr>
              <w:t xml:space="preserve">Contact:</w:t>
            </w:r>
            <w:r>
              <w:t xml:space="preserve"> </w:t>
            </w:r>
            <w:r>
              <w:t xml:space="preserve">+880-2-8812345 | hr@dhakatalent.com.bd</w:t>
            </w:r>
          </w:p>
        </w:tc>
        <w:tc>
          <w:tcPr/>
          <w:p>
            <w:pPr>
              <w:jc w:val="left"/>
            </w:pPr>
            <w:r>
              <w:rPr>
                <w:bCs/>
                <w:b/>
              </w:rPr>
              <w:t xml:space="preserve">Prepared For:</w:t>
            </w:r>
            <w:r>
              <w:t xml:space="preserve"> </w:t>
            </w:r>
            <w:r>
              <w:t xml:space="preserve">[Client Company Name]</w:t>
            </w:r>
          </w:p>
          <w:p>
            <w:pPr>
              <w:jc w:val="left"/>
            </w:pPr>
            <w:r>
              <w:rPr>
                <w:bCs/>
                <w:b/>
              </w:rPr>
              <w:t xml:space="preserve">Client Address:</w:t>
            </w:r>
            <w:r>
              <w:t xml:space="preserve"> </w:t>
            </w:r>
            <w:r>
              <w:t xml:space="preserve">[Street, Area], Bangladesh Dhaka</w:t>
            </w:r>
          </w:p>
          <w:p>
            <w:pPr>
              <w:jc w:val="left"/>
            </w:pPr>
            <w:r>
              <w:rPr>
                <w:bCs/>
                <w:b/>
              </w:rPr>
              <w:t xml:space="preserve">Client Contact Person:</w:t>
            </w:r>
            <w:r>
              <w:t xml:space="preserve"> </w:t>
            </w:r>
            <w:r>
              <w:t xml:space="preserve">[Name &amp; Designation]</w:t>
            </w:r>
          </w:p>
          <w:p>
            <w:pPr>
              <w:jc w:val="left"/>
            </w:pPr>
            <w:r>
              <w:rPr>
                <w:bCs/>
                <w:b/>
              </w:rPr>
              <w:t xml:space="preserve">Client Phone:</w:t>
            </w:r>
            <w:r>
              <w:t xml:space="preserve"> </w:t>
            </w:r>
            <w:r>
              <w:t xml:space="preserve">+880-1XXXXXXXXX</w:t>
            </w:r>
          </w:p>
          <w:p>
            <w:pPr>
              <w:jc w:val="left"/>
            </w:pPr>
            <w:r>
              <w:rPr>
                <w:bCs/>
                <w:b/>
              </w:rPr>
              <w:t xml:space="preserve">Client Email:</w:t>
            </w:r>
            <w:r>
              <w:t xml:space="preserve"> </w:t>
            </w:r>
            <w:r>
              <w:t xml:space="preserve">[email@company.com.bd]</w:t>
            </w:r>
          </w:p>
          <w:p>
            <w:pPr>
              <w:jc w:val="left"/>
            </w:pPr>
            <w:r>
              <w:rPr>
                <w:bCs/>
                <w:b/>
              </w:rPr>
              <w:t xml:space="preserve">Project Reference:</w:t>
            </w:r>
            <w:r>
              <w:t xml:space="preserve"> </w:t>
            </w:r>
            <w:r>
              <w:t xml:space="preserve">HRM-RECRUIT-2025-BD</w:t>
            </w:r>
          </w:p>
        </w:tc>
      </w:tr>
    </w:tbl>
    <w:p>
      <w:r>
        <w:pict>
          <v:rect style="width:0;height:1.5pt" o:hralign="center" o:hrstd="t" o:hr="t"/>
        </w:pict>
      </w:r>
    </w:p>
    <w:bookmarkStart w:id="21" w:name="purpose-of-this-quotation-estimate"/>
    <w:p>
      <w:pPr>
        <w:pStyle w:val="Heading2"/>
      </w:pPr>
      <w:r>
        <w:t xml:space="preserve">1. Purpose of This Quotation Estimate</w:t>
      </w:r>
    </w:p>
    <w:p>
      <w:pPr>
        <w:pStyle w:val="FirstParagraph"/>
      </w:pPr>
      <w:r>
        <w:t xml:space="preserve">This Quotation Estimate is issued by Dhaka Talent Solutions Ltd. to provide a comprehensive and itemized cost breakdown for the recruitment, onboarding, and first-year retention support of a</w:t>
      </w:r>
      <w:r>
        <w:t xml:space="preserve"> </w:t>
      </w:r>
      <w:r>
        <w:rPr>
          <w:bCs/>
          <w:b/>
        </w:rPr>
        <w:t xml:space="preserve">Human Resources Manager</w:t>
      </w:r>
      <w:r>
        <w:t xml:space="preserve"> </w:t>
      </w:r>
      <w:r>
        <w:t xml:space="preserve">for the client organization operating in Bangladesh Dhaka. This document serves as a formal proposal outlining the scope of professional services, associated fees, timelines, and terms governing the engagement. All figures presented in this Quotation Estimate are exclusive of applicable Value Added Tax (VAT) at the prevailing rate of 15% as mandated by the National Board of Revenue, Bangladesh, unless otherwise stated.</w:t>
      </w:r>
    </w:p>
    <w:bookmarkEnd w:id="21"/>
    <w:bookmarkStart w:id="22" w:name="Xc90206a0f91c0f564be7ccaababd4eeb3368bd3"/>
    <w:p>
      <w:pPr>
        <w:pStyle w:val="Heading2"/>
      </w:pPr>
      <w:r>
        <w:t xml:space="preserve">2. Scope of Services – Human Resources Manager Engagement</w:t>
      </w:r>
    </w:p>
    <w:p>
      <w:pPr>
        <w:pStyle w:val="FirstParagraph"/>
      </w:pPr>
      <w:r>
        <w:t xml:space="preserve">The following services are included under this Quotation Estimate for the Human Resources Manager position:</w:t>
      </w:r>
    </w:p>
    <w:p>
      <w:pPr>
        <w:numPr>
          <w:ilvl w:val="0"/>
          <w:numId w:val="1001"/>
        </w:numPr>
        <w:pStyle w:val="Compact"/>
      </w:pPr>
      <w:r>
        <w:rPr>
          <w:bCs/>
          <w:b/>
        </w:rPr>
        <w:t xml:space="preserve">Job Market Analysis:</w:t>
      </w:r>
      <w:r>
        <w:t xml:space="preserve"> </w:t>
      </w:r>
      <w:r>
        <w:t xml:space="preserve">Conducting a thorough assessment of the Bangladesh Dhaka labor market to identify the appropriate salary benchmark, skill requirements, and candidate pool for the Human Resources Manager role.</w:t>
      </w:r>
    </w:p>
    <w:p>
      <w:pPr>
        <w:numPr>
          <w:ilvl w:val="0"/>
          <w:numId w:val="1001"/>
        </w:numPr>
        <w:pStyle w:val="Compact"/>
      </w:pPr>
      <w:r>
        <w:rPr>
          <w:bCs/>
          <w:b/>
        </w:rPr>
        <w:t xml:space="preserve">Job Description &amp; Requisition:</w:t>
      </w:r>
      <w:r>
        <w:t xml:space="preserve"> </w:t>
      </w:r>
      <w:r>
        <w:t xml:space="preserve">Drafting a detailed job description, competency framework, and internal requisition document tailored to the client's organizational structure and industry sector.</w:t>
      </w:r>
    </w:p>
    <w:p>
      <w:pPr>
        <w:numPr>
          <w:ilvl w:val="0"/>
          <w:numId w:val="1001"/>
        </w:numPr>
        <w:pStyle w:val="Compact"/>
      </w:pPr>
      <w:r>
        <w:rPr>
          <w:bCs/>
          <w:b/>
        </w:rPr>
        <w:t xml:space="preserve">Sourcing &amp; Screening:</w:t>
      </w:r>
      <w:r>
        <w:t xml:space="preserve"> </w:t>
      </w:r>
      <w:r>
        <w:t xml:space="preserve">Active and passive sourcing of qualified Human Resources Manager candidates through professional networks, job portals (including Bdjobs.com, LinkedIn, and local Bangladesh Dhaka recruitment agencies), and university career fairs at BUET, Dhaka University, and North South University.</w:t>
      </w:r>
    </w:p>
    <w:p>
      <w:pPr>
        <w:numPr>
          <w:ilvl w:val="0"/>
          <w:numId w:val="1001"/>
        </w:numPr>
        <w:pStyle w:val="Compact"/>
      </w:pPr>
      <w:r>
        <w:rPr>
          <w:bCs/>
          <w:b/>
        </w:rPr>
        <w:t xml:space="preserve">Interview Coordination:</w:t>
      </w:r>
      <w:r>
        <w:t xml:space="preserve"> </w:t>
      </w:r>
      <w:r>
        <w:t xml:space="preserve">Scheduling and facilitating a minimum of three (3) rounds of interviews, including a psychometric assessment, a competency-based interview, and a final panel interview with senior leadership.</w:t>
      </w:r>
    </w:p>
    <w:p>
      <w:pPr>
        <w:numPr>
          <w:ilvl w:val="0"/>
          <w:numId w:val="1001"/>
        </w:numPr>
        <w:pStyle w:val="Compact"/>
      </w:pPr>
      <w:r>
        <w:rPr>
          <w:bCs/>
          <w:b/>
        </w:rPr>
        <w:t xml:space="preserve">Reference &amp; Background Verification:</w:t>
      </w:r>
      <w:r>
        <w:t xml:space="preserve"> </w:t>
      </w:r>
      <w:r>
        <w:t xml:space="preserve">Conducting thorough reference checks, academic verification, and criminal background screening in compliance with Bangladesh labor laws and data protection regulations.</w:t>
      </w:r>
    </w:p>
    <w:p>
      <w:pPr>
        <w:numPr>
          <w:ilvl w:val="0"/>
          <w:numId w:val="1001"/>
        </w:numPr>
        <w:pStyle w:val="Compact"/>
      </w:pPr>
      <w:r>
        <w:rPr>
          <w:bCs/>
          <w:b/>
        </w:rPr>
        <w:t xml:space="preserve">Offer Negotiation &amp; Onboarding:</w:t>
      </w:r>
      <w:r>
        <w:t xml:space="preserve"> </w:t>
      </w:r>
      <w:r>
        <w:t xml:space="preserve">Assisting the client in finalizing the employment contract, negotiating compensation packages, and managing the 90-day onboarding program for the newly appointed Human Resources Manager.</w:t>
      </w:r>
    </w:p>
    <w:p>
      <w:pPr>
        <w:numPr>
          <w:ilvl w:val="0"/>
          <w:numId w:val="1001"/>
        </w:numPr>
        <w:pStyle w:val="Compact"/>
      </w:pPr>
      <w:r>
        <w:rPr>
          <w:bCs/>
          <w:b/>
        </w:rPr>
        <w:t xml:space="preserve">First-Year Retention Support:</w:t>
      </w:r>
      <w:r>
        <w:t xml:space="preserve"> </w:t>
      </w:r>
      <w:r>
        <w:t xml:space="preserve">Providing quarterly check-ins, performance review facilitation, and advisory support to ensure the Human Resources Manager integrates effectively into the Bangladesh Dhaka business environment.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Item</w:t>
            </w:r>
          </w:p>
        </w:tc>
        <w:tc>
          <w:tcPr/>
          <w:p>
            <w:pPr>
              <w:pStyle w:val="Compact"/>
              <w:jc w:val="left"/>
            </w:pPr>
            <w:r>
              <w:t xml:space="preserve">Description</w:t>
            </w:r>
          </w:p>
        </w:tc>
        <w:tc>
          <w:tcPr/>
          <w:p>
            <w:pPr>
              <w:pStyle w:val="Compact"/>
              <w:jc w:val="right"/>
            </w:pPr>
            <w:r>
              <w:t xml:space="preserve">Cost (BDT)</w:t>
            </w:r>
          </w:p>
        </w:tc>
        <w:tc>
          <w:tcPr/>
          <w:p>
            <w:pPr>
              <w:pStyle w:val="Compact"/>
              <w:jc w:val="right"/>
            </w:pPr>
            <w:r>
              <w:t xml:space="preserve">Cost (USD)</w:t>
            </w:r>
          </w:p>
        </w:tc>
      </w:tr>
      <w:tr>
        <w:tc>
          <w:tcPr/>
          <w:p>
            <w:pPr>
              <w:pStyle w:val="Compact"/>
              <w:jc w:val="left"/>
            </w:pPr>
            <w:r>
              <w:t xml:space="preserve">1</w:t>
            </w:r>
          </w:p>
        </w:tc>
        <w:tc>
          <w:tcPr/>
          <w:p>
            <w:pPr>
              <w:pStyle w:val="Compact"/>
              <w:jc w:val="left"/>
            </w:pPr>
            <w:r>
              <w:t xml:space="preserve">Market Research &amp; Job Analysis</w:t>
            </w:r>
          </w:p>
        </w:tc>
        <w:tc>
          <w:tcPr/>
          <w:p>
            <w:pPr>
              <w:pStyle w:val="Compact"/>
              <w:jc w:val="left"/>
            </w:pPr>
            <w:r>
              <w:t xml:space="preserve">Salary benchmarking for Human Resources Manager in Bangladesh Dhaka</w:t>
            </w:r>
          </w:p>
        </w:tc>
        <w:tc>
          <w:tcPr/>
          <w:p>
            <w:pPr>
              <w:pStyle w:val="Compact"/>
              <w:jc w:val="right"/>
            </w:pPr>
            <w:r>
              <w:t xml:space="preserve">85,000</w:t>
            </w:r>
          </w:p>
        </w:tc>
        <w:tc>
          <w:tcPr/>
          <w:p>
            <w:pPr>
              <w:pStyle w:val="Compact"/>
              <w:jc w:val="right"/>
            </w:pPr>
            <w:r>
              <w:t xml:space="preserve">750</w:t>
            </w:r>
          </w:p>
        </w:tc>
      </w:tr>
      <w:tr>
        <w:tc>
          <w:tcPr/>
          <w:p>
            <w:pPr>
              <w:pStyle w:val="Compact"/>
              <w:jc w:val="left"/>
            </w:pPr>
            <w:r>
              <w:t xml:space="preserve">2</w:t>
            </w:r>
          </w:p>
        </w:tc>
        <w:tc>
          <w:tcPr/>
          <w:p>
            <w:pPr>
              <w:pStyle w:val="Compact"/>
              <w:jc w:val="left"/>
            </w:pPr>
            <w:r>
              <w:t xml:space="preserve">Job Description &amp; Requisition Drafting</w:t>
            </w:r>
          </w:p>
        </w:tc>
        <w:tc>
          <w:tcPr/>
          <w:p>
            <w:pPr>
              <w:pStyle w:val="Compact"/>
              <w:jc w:val="left"/>
            </w:pPr>
            <w:r>
              <w:t xml:space="preserve">Customized JD, competency matrix, and internal approval workflow</w:t>
            </w:r>
          </w:p>
        </w:tc>
        <w:tc>
          <w:tcPr/>
          <w:p>
            <w:pPr>
              <w:pStyle w:val="Compact"/>
              <w:jc w:val="right"/>
            </w:pPr>
            <w:r>
              <w:t xml:space="preserve">45,000</w:t>
            </w:r>
          </w:p>
        </w:tc>
        <w:tc>
          <w:tcPr/>
          <w:p>
            <w:pPr>
              <w:pStyle w:val="Compact"/>
              <w:jc w:val="right"/>
            </w:pPr>
            <w:r>
              <w:t xml:space="preserve">400</w:t>
            </w:r>
          </w:p>
        </w:tc>
      </w:tr>
      <w:tr>
        <w:tc>
          <w:tcPr/>
          <w:p>
            <w:pPr>
              <w:pStyle w:val="Compact"/>
              <w:jc w:val="left"/>
            </w:pPr>
            <w:r>
              <w:t xml:space="preserve">3</w:t>
            </w:r>
          </w:p>
        </w:tc>
        <w:tc>
          <w:tcPr/>
          <w:p>
            <w:pPr>
              <w:pStyle w:val="Compact"/>
              <w:jc w:val="left"/>
            </w:pPr>
            <w:r>
              <w:t xml:space="preserve">Active &amp; Passive Candidate Sourcing</w:t>
            </w:r>
          </w:p>
        </w:tc>
        <w:tc>
          <w:tcPr/>
          <w:p>
            <w:pPr>
              <w:pStyle w:val="Compact"/>
              <w:jc w:val="left"/>
            </w:pPr>
            <w:r>
              <w:t xml:space="preserve">Minimum 50 screened profiles; 10 shortlisted for Human Resources Manager role</w:t>
            </w:r>
          </w:p>
        </w:tc>
        <w:tc>
          <w:tcPr/>
          <w:p>
            <w:pPr>
              <w:pStyle w:val="Compact"/>
              <w:jc w:val="right"/>
            </w:pPr>
            <w:r>
              <w:t xml:space="preserve">1,20,000</w:t>
            </w:r>
          </w:p>
        </w:tc>
        <w:tc>
          <w:tcPr/>
          <w:p>
            <w:pPr>
              <w:pStyle w:val="Compact"/>
              <w:jc w:val="right"/>
            </w:pPr>
            <w:r>
              <w:t xml:space="preserve">1,060</w:t>
            </w:r>
          </w:p>
        </w:tc>
      </w:tr>
      <w:tr>
        <w:tc>
          <w:tcPr/>
          <w:p>
            <w:pPr>
              <w:pStyle w:val="Compact"/>
              <w:jc w:val="left"/>
            </w:pPr>
            <w:r>
              <w:t xml:space="preserve">4</w:t>
            </w:r>
          </w:p>
        </w:tc>
        <w:tc>
          <w:tcPr/>
          <w:p>
            <w:pPr>
              <w:pStyle w:val="Compact"/>
              <w:jc w:val="left"/>
            </w:pPr>
            <w:r>
              <w:t xml:space="preserve">Interview Facilitation &amp; Assessment</w:t>
            </w:r>
          </w:p>
        </w:tc>
        <w:tc>
          <w:tcPr/>
          <w:p>
            <w:pPr>
              <w:pStyle w:val="Compact"/>
              <w:jc w:val="left"/>
            </w:pPr>
            <w:r>
              <w:t xml:space="preserve">3 interview rounds + psychometric evaluation + panel coordination</w:t>
            </w:r>
          </w:p>
        </w:tc>
        <w:tc>
          <w:tcPr/>
          <w:p>
            <w:pPr>
              <w:pStyle w:val="Compact"/>
              <w:jc w:val="right"/>
            </w:pPr>
            <w:r>
              <w:t xml:space="preserve">95,000</w:t>
            </w:r>
          </w:p>
        </w:tc>
        <w:tc>
          <w:tcPr/>
          <w:p>
            <w:pPr>
              <w:pStyle w:val="Compact"/>
              <w:jc w:val="right"/>
            </w:pPr>
            <w:r>
              <w:t xml:space="preserve">840</w:t>
            </w:r>
          </w:p>
        </w:tc>
      </w:tr>
      <w:tr>
        <w:tc>
          <w:tcPr/>
          <w:p>
            <w:pPr>
              <w:pStyle w:val="Compact"/>
              <w:jc w:val="left"/>
            </w:pPr>
            <w:r>
              <w:t xml:space="preserve">5</w:t>
            </w:r>
          </w:p>
        </w:tc>
        <w:tc>
          <w:tcPr/>
          <w:p>
            <w:pPr>
              <w:pStyle w:val="Compact"/>
              <w:jc w:val="left"/>
            </w:pPr>
            <w:r>
              <w:t xml:space="preserve">Background &amp; Reference Verification</w:t>
            </w:r>
          </w:p>
        </w:tc>
        <w:tc>
          <w:tcPr/>
          <w:p>
            <w:pPr>
              <w:pStyle w:val="Compact"/>
              <w:jc w:val="left"/>
            </w:pPr>
            <w:r>
              <w:t xml:space="preserve">Academic, employment, and criminal checks per Bangladesh law</w:t>
            </w:r>
          </w:p>
        </w:tc>
        <w:tc>
          <w:tcPr/>
          <w:p>
            <w:pPr>
              <w:pStyle w:val="Compact"/>
              <w:jc w:val="right"/>
            </w:pPr>
            <w:r>
              <w:t xml:space="preserve">55,000</w:t>
            </w:r>
          </w:p>
        </w:tc>
        <w:tc>
          <w:tcPr/>
          <w:p>
            <w:pPr>
              <w:pStyle w:val="Compact"/>
              <w:jc w:val="right"/>
            </w:pPr>
            <w:r>
              <w:t xml:space="preserve">485</w:t>
            </w:r>
          </w:p>
        </w:tc>
      </w:tr>
      <w:tr>
        <w:tc>
          <w:tcPr/>
          <w:p>
            <w:pPr>
              <w:pStyle w:val="Compact"/>
              <w:jc w:val="left"/>
            </w:pPr>
            <w:r>
              <w:t xml:space="preserve">6</w:t>
            </w:r>
          </w:p>
        </w:tc>
        <w:tc>
          <w:tcPr/>
          <w:p>
            <w:pPr>
              <w:pStyle w:val="Compact"/>
              <w:jc w:val="left"/>
            </w:pPr>
            <w:r>
              <w:t xml:space="preserve">Offer Management &amp; Contract Finalization</w:t>
            </w:r>
          </w:p>
        </w:tc>
        <w:tc>
          <w:tcPr/>
          <w:p>
            <w:pPr>
              <w:pStyle w:val="Compact"/>
              <w:jc w:val="left"/>
            </w:pPr>
            <w:r>
              <w:t xml:space="preserve">Compensation negotiation, contract drafting, and legal review</w:t>
            </w:r>
          </w:p>
        </w:tc>
        <w:tc>
          <w:tcPr/>
          <w:p>
            <w:pPr>
              <w:pStyle w:val="Compact"/>
              <w:jc w:val="right"/>
            </w:pPr>
            <w:r>
              <w:t xml:space="preserve">60,000</w:t>
            </w:r>
          </w:p>
        </w:tc>
        <w:tc>
          <w:tcPr/>
          <w:p>
            <w:pPr>
              <w:pStyle w:val="Compact"/>
              <w:jc w:val="right"/>
            </w:pPr>
            <w:r>
              <w:t xml:space="preserve">530</w:t>
            </w:r>
          </w:p>
        </w:tc>
      </w:tr>
      <w:tr>
        <w:tc>
          <w:tcPr/>
          <w:p>
            <w:pPr>
              <w:pStyle w:val="Compact"/>
              <w:jc w:val="left"/>
            </w:pPr>
            <w:r>
              <w:t xml:space="preserve">7</w:t>
            </w:r>
          </w:p>
        </w:tc>
        <w:tc>
          <w:tcPr/>
          <w:p>
            <w:pPr>
              <w:pStyle w:val="Compact"/>
              <w:jc w:val="left"/>
            </w:pPr>
            <w:r>
              <w:t xml:space="preserve">90-Day Onboarding Program</w:t>
            </w:r>
          </w:p>
        </w:tc>
        <w:tc>
          <w:tcPr/>
          <w:p>
            <w:pPr>
              <w:pStyle w:val="Compact"/>
              <w:jc w:val="left"/>
            </w:pPr>
            <w:r>
              <w:t xml:space="preserve">Structured onboarding plan, mentorship pairing, and culture integration</w:t>
            </w:r>
          </w:p>
        </w:tc>
        <w:tc>
          <w:tcPr/>
          <w:p>
            <w:pPr>
              <w:pStyle w:val="Compact"/>
              <w:jc w:val="right"/>
            </w:pPr>
            <w:r>
              <w:t xml:space="preserve">1,10,000</w:t>
            </w:r>
          </w:p>
        </w:tc>
        <w:tc>
          <w:tcPr/>
          <w:p>
            <w:pPr>
              <w:pStyle w:val="Compact"/>
              <w:jc w:val="right"/>
            </w:pPr>
            <w:r>
              <w:t xml:space="preserve">970</w:t>
            </w:r>
          </w:p>
        </w:tc>
      </w:tr>
      <w:tr>
        <w:tc>
          <w:tcPr/>
          <w:p>
            <w:pPr>
              <w:pStyle w:val="Compact"/>
              <w:jc w:val="left"/>
            </w:pPr>
            <w:r>
              <w:t xml:space="preserve">8</w:t>
            </w:r>
          </w:p>
        </w:tc>
        <w:tc>
          <w:tcPr/>
          <w:p>
            <w:pPr>
              <w:pStyle w:val="Compact"/>
              <w:jc w:val="left"/>
            </w:pPr>
            <w:r>
              <w:t xml:space="preserve">First-Year Retention &amp; Advisory Support</w:t>
            </w:r>
          </w:p>
        </w:tc>
        <w:tc>
          <w:tcPr/>
          <w:p>
            <w:pPr>
              <w:pStyle w:val="Compact"/>
              <w:jc w:val="left"/>
            </w:pPr>
            <w:r>
              <w:t xml:space="preserve">4 quarterly reviews, 2 HR policy consultations, and 12 months of advisory</w:t>
            </w:r>
          </w:p>
        </w:tc>
        <w:tc>
          <w:tcPr/>
          <w:p>
            <w:pPr>
              <w:pStyle w:val="Compact"/>
              <w:jc w:val="right"/>
            </w:pPr>
            <w:r>
              <w:t xml:space="preserve">1,50,000</w:t>
            </w:r>
          </w:p>
        </w:tc>
        <w:tc>
          <w:tcPr/>
          <w:p>
            <w:pPr>
              <w:pStyle w:val="Compact"/>
              <w:jc w:val="right"/>
            </w:pPr>
            <w:r>
              <w:t xml:space="preserve">1,325</w:t>
            </w:r>
          </w:p>
        </w:tc>
      </w:tr>
      <w:tr>
        <w:tc>
          <w:tcPr>
            <w:gridSpan w:val="3"/>
          </w:tcPr>
          <w:p>
            <w:pPr>
              <w:pStyle w:val="Compact"/>
              <w:jc w:val="right"/>
            </w:pPr>
            <w:r>
              <w:t xml:space="preserve">Subtotal (Excluding VAT)</w:t>
            </w:r>
          </w:p>
        </w:tc>
        <w:tc>
          <w:tcPr/>
          <w:p>
            <w:pPr>
              <w:pStyle w:val="Compact"/>
              <w:jc w:val="right"/>
            </w:pPr>
            <w:r>
              <w:t xml:space="preserve">7,20,000</w:t>
            </w:r>
          </w:p>
        </w:tc>
        <w:tc>
          <w:tcPr/>
          <w:p>
            <w:pPr>
              <w:pStyle w:val="Compact"/>
              <w:jc w:val="right"/>
            </w:pPr>
            <w:r>
              <w:t xml:space="preserve">6,360</w:t>
            </w:r>
          </w:p>
        </w:tc>
      </w:tr>
      <w:tr>
        <w:tc>
          <w:tcPr>
            <w:gridSpan w:val="3"/>
          </w:tcPr>
          <w:p>
            <w:pPr>
              <w:pStyle w:val="Compact"/>
              <w:jc w:val="right"/>
            </w:pPr>
            <w:r>
              <w:t xml:space="preserve">VAT @ 15%</w:t>
            </w:r>
          </w:p>
        </w:tc>
        <w:tc>
          <w:tcPr/>
          <w:p>
            <w:pPr>
              <w:pStyle w:val="Compact"/>
              <w:jc w:val="right"/>
            </w:pPr>
            <w:r>
              <w:t xml:space="preserve">1,08,000</w:t>
            </w:r>
          </w:p>
        </w:tc>
        <w:tc>
          <w:tcPr/>
          <w:p>
            <w:pPr>
              <w:pStyle w:val="Compact"/>
              <w:jc w:val="right"/>
            </w:pPr>
            <w:r>
              <w:t xml:space="preserve">954</w:t>
            </w:r>
          </w:p>
        </w:tc>
      </w:tr>
      <w:tr>
        <w:tc>
          <w:tcPr>
            <w:gridSpan w:val="3"/>
          </w:tcPr>
          <w:p>
            <w:pPr>
              <w:pStyle w:val="Compact"/>
              <w:jc w:val="right"/>
            </w:pPr>
            <w:r>
              <w:t xml:space="preserve">GRAND TOTAL</w:t>
            </w:r>
          </w:p>
        </w:tc>
        <w:tc>
          <w:tcPr/>
          <w:p>
            <w:pPr>
              <w:pStyle w:val="Compact"/>
              <w:jc w:val="right"/>
            </w:pPr>
            <w:r>
              <w:t xml:space="preserve">8,28,000</w:t>
            </w:r>
          </w:p>
        </w:tc>
        <w:tc>
          <w:tcPr/>
          <w:p>
            <w:pPr>
              <w:pStyle w:val="Compact"/>
              <w:jc w:val="right"/>
            </w:pPr>
            <w:r>
              <w:t xml:space="preserve">7,314</w:t>
            </w:r>
          </w:p>
        </w:tc>
      </w:tr>
    </w:tbl>
    <w:p>
      <w:pPr>
        <w:pStyle w:val="BodyText"/>
      </w:pPr>
      <w:r>
        <w:t xml:space="preserve">* Exchange rate assumed: 1 USD = 113.20 BDT (Bangladesh Bank reference rate as of June 2025). Final BDT amount shall prevail.</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right"/>
            </w:pPr>
            <w:r>
              <w:t xml:space="preserve">Amount (BDT)</w:t>
            </w:r>
          </w:p>
        </w:tc>
      </w:tr>
      <w:tr>
        <w:tc>
          <w:tcPr/>
          <w:p>
            <w:pPr>
              <w:pStyle w:val="Compact"/>
              <w:jc w:val="left"/>
            </w:pPr>
            <w:r>
              <w:t xml:space="preserve">Advance Payment (upon signing this Quotation Estimate)</w:t>
            </w:r>
          </w:p>
        </w:tc>
        <w:tc>
          <w:tcPr/>
          <w:p>
            <w:pPr>
              <w:pStyle w:val="Compact"/>
              <w:jc w:val="left"/>
            </w:pPr>
            <w:r>
              <w:t xml:space="preserve">Within 5 working days of acceptance</w:t>
            </w:r>
          </w:p>
        </w:tc>
        <w:tc>
          <w:tcPr/>
          <w:p>
            <w:pPr>
              <w:pStyle w:val="Compact"/>
              <w:jc w:val="right"/>
            </w:pPr>
            <w:r>
              <w:t xml:space="preserve">2,48,400 (30%)</w:t>
            </w:r>
          </w:p>
        </w:tc>
      </w:tr>
      <w:tr>
        <w:tc>
          <w:tcPr/>
          <w:p>
            <w:pPr>
              <w:pStyle w:val="Compact"/>
              <w:jc w:val="left"/>
            </w:pPr>
            <w:r>
              <w:t xml:space="preserve">Mid-Project Payment (upon shortlisting of 3 final candidates)</w:t>
            </w:r>
          </w:p>
        </w:tc>
        <w:tc>
          <w:tcPr/>
          <w:p>
            <w:pPr>
              <w:pStyle w:val="Compact"/>
              <w:jc w:val="left"/>
            </w:pPr>
            <w:r>
              <w:t xml:space="preserve">Week 6 of engagement</w:t>
            </w:r>
          </w:p>
        </w:tc>
        <w:tc>
          <w:tcPr/>
          <w:p>
            <w:pPr>
              <w:pStyle w:val="Compact"/>
              <w:jc w:val="right"/>
            </w:pPr>
            <w:r>
              <w:t xml:space="preserve">2,48,400 (30%)</w:t>
            </w:r>
          </w:p>
        </w:tc>
      </w:tr>
      <w:tr>
        <w:tc>
          <w:tcPr/>
          <w:p>
            <w:pPr>
              <w:pStyle w:val="Compact"/>
              <w:jc w:val="left"/>
            </w:pPr>
            <w:r>
              <w:t xml:space="preserve">Final Payment (upon successful onboarding of Human Resources Manager)</w:t>
            </w:r>
          </w:p>
        </w:tc>
        <w:tc>
          <w:tcPr/>
          <w:p>
            <w:pPr>
              <w:pStyle w:val="Compact"/>
              <w:jc w:val="left"/>
            </w:pPr>
            <w:r>
              <w:t xml:space="preserve">Week 12 of engagement</w:t>
            </w:r>
          </w:p>
        </w:tc>
        <w:tc>
          <w:tcPr/>
          <w:p>
            <w:pPr>
              <w:pStyle w:val="Compact"/>
              <w:jc w:val="right"/>
            </w:pPr>
            <w:r>
              <w:t xml:space="preserve">2,48,400 (30%)</w:t>
            </w:r>
          </w:p>
        </w:tc>
      </w:tr>
      <w:tr>
        <w:tc>
          <w:tcPr/>
          <w:p>
            <w:pPr>
              <w:pStyle w:val="Compact"/>
              <w:jc w:val="left"/>
            </w:pPr>
            <w:r>
              <w:t xml:space="preserve">Retention Support Fee (upon completion of 90-day onboarding)</w:t>
            </w:r>
          </w:p>
        </w:tc>
        <w:tc>
          <w:tcPr/>
          <w:p>
            <w:pPr>
              <w:pStyle w:val="Compact"/>
              <w:jc w:val="left"/>
            </w:pPr>
            <w:r>
              <w:t xml:space="preserve">Week 14 of engagement</w:t>
            </w:r>
          </w:p>
        </w:tc>
        <w:tc>
          <w:tcPr/>
          <w:p>
            <w:pPr>
              <w:pStyle w:val="Compact"/>
              <w:jc w:val="right"/>
            </w:pPr>
            <w:r>
              <w:t xml:space="preserve">82,800 (10%)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fees are subject to revision based on prevailing Bangladesh Dhaka market conditions.</w:t>
      </w:r>
    </w:p>
    <w:p>
      <w:pPr>
        <w:numPr>
          <w:ilvl w:val="0"/>
          <w:numId w:val="1002"/>
        </w:numPr>
        <w:pStyle w:val="Compact"/>
      </w:pPr>
      <w:r>
        <w:t xml:space="preserve">All services shall be performed in strict compliance with the Bangladesh Labour Act 2006, the Bangladesh Labour Rules 2015, and applicable data protection guidelines.</w:t>
      </w:r>
    </w:p>
    <w:p>
      <w:pPr>
        <w:numPr>
          <w:ilvl w:val="0"/>
          <w:numId w:val="1002"/>
        </w:numPr>
        <w:pStyle w:val="Compact"/>
      </w:pPr>
      <w:r>
        <w:t xml:space="preserve">The client agrees to provide timely access to internal stakeholders, job specifications, and organizational information necessary for the Human Resources Manager recruitment process.</w:t>
      </w:r>
    </w:p>
    <w:p>
      <w:pPr>
        <w:numPr>
          <w:ilvl w:val="0"/>
          <w:numId w:val="1002"/>
        </w:numPr>
        <w:pStyle w:val="Compact"/>
      </w:pPr>
      <w:r>
        <w:t xml:space="preserve">Confidentiality: All candidate data, client organizational information, and details contained in this Quotation Estimate shall be treated as strictly confidential by both parties.</w:t>
      </w:r>
    </w:p>
    <w:p>
      <w:pPr>
        <w:numPr>
          <w:ilvl w:val="0"/>
          <w:numId w:val="1002"/>
        </w:numPr>
        <w:pStyle w:val="Compact"/>
      </w:pPr>
      <w:r>
        <w:t xml:space="preserve">Replacement Guarantee: In the event the appointed Human Resources Manager resigns or is terminated within ninety (90) days of joining, Dhaka Talent Solutions Ltd. shall provide one (1) free replacement search at no additional cost.</w:t>
      </w:r>
    </w:p>
    <w:p>
      <w:pPr>
        <w:numPr>
          <w:ilvl w:val="0"/>
          <w:numId w:val="1002"/>
        </w:numPr>
        <w:pStyle w:val="Compact"/>
      </w:pPr>
      <w:r>
        <w:t xml:space="preserve">Disputes arising from this Quotation Estimate shall be resolved through arbitration in Bangladesh Dhaka in accordance with the Arbitration Act 2001 of Bangladesh.</w:t>
      </w:r>
    </w:p>
    <w:p>
      <w:pPr>
        <w:numPr>
          <w:ilvl w:val="0"/>
          <w:numId w:val="1002"/>
        </w:numPr>
        <w:pStyle w:val="Compact"/>
      </w:pPr>
      <w:r>
        <w:t xml:space="preserve">Force Majeure: Neither party shall be liable for delays caused by natural disasters, government-imposed lockdowns, or other events beyond reasonable control, which are common considerations in the Bangladesh Dhaka operational environment.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fee structure outlined herein for the Human Resources Manager engagement in Bangladesh Dhaka.</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Client:</w:t>
            </w:r>
          </w:p>
          <w:p>
            <w:pPr>
              <w:jc w:val="left"/>
            </w:pPr>
            <w:r>
              <w:t xml:space="preserve">Signature: ___________________________</w:t>
            </w:r>
          </w:p>
          <w:p>
            <w:pPr>
              <w:jc w:val="left"/>
            </w:pPr>
            <w:r>
              <w:t xml:space="preserve">Name: ___________________________</w:t>
            </w:r>
          </w:p>
          <w:p>
            <w:pPr>
              <w:jc w:val="left"/>
            </w:pPr>
            <w:r>
              <w:t xml:space="preserve">Designation: ___________________________</w:t>
            </w:r>
          </w:p>
          <w:p>
            <w:pPr>
              <w:jc w:val="left"/>
            </w:pPr>
            <w:r>
              <w:t xml:space="preserve">Date: ___________________________</w:t>
            </w:r>
          </w:p>
          <w:p>
            <w:pPr>
              <w:jc w:val="left"/>
            </w:pPr>
            <w:r>
              <w:t xml:space="preserve">Company Seal:</w:t>
            </w:r>
          </w:p>
        </w:tc>
        <w:tc>
          <w:tcPr/>
          <w:p>
            <w:pPr>
              <w:jc w:val="left"/>
            </w:pPr>
            <w:r>
              <w:rPr>
                <w:bCs/>
                <w:b/>
              </w:rPr>
              <w:t xml:space="preserve">For and on behalf of Dhaka Talent Solutions Ltd.:</w:t>
            </w:r>
          </w:p>
          <w:p>
            <w:pPr>
              <w:jc w:val="left"/>
            </w:pPr>
            <w:r>
              <w:t xml:space="preserve">Signature: ___________________________</w:t>
            </w:r>
          </w:p>
          <w:p>
            <w:pPr>
              <w:jc w:val="left"/>
            </w:pPr>
            <w:r>
              <w:t xml:space="preserve">Name: ___________________________</w:t>
            </w:r>
          </w:p>
          <w:p>
            <w:pPr>
              <w:jc w:val="left"/>
            </w:pPr>
            <w:r>
              <w:t xml:space="preserve">Designation: Managing Director</w:t>
            </w:r>
          </w:p>
          <w:p>
            <w:pPr>
              <w:jc w:val="left"/>
            </w:pPr>
            <w:r>
              <w:t xml:space="preserve">Date: ___________________________</w:t>
            </w:r>
          </w:p>
          <w:p>
            <w:pPr>
              <w:jc w:val="left"/>
            </w:pPr>
            <w:r>
              <w:t xml:space="preserve">Company Seal:</w:t>
            </w:r>
          </w:p>
        </w:tc>
      </w:tr>
    </w:tbl>
    <w:p>
      <w:r>
        <w:pict>
          <v:rect style="width:0;height:1.5pt" o:hralign="center" o:hrstd="t" o:hr="t"/>
        </w:pict>
      </w:r>
    </w:p>
    <w:p>
      <w:pPr>
        <w:pStyle w:val="FirstParagraph"/>
      </w:pPr>
      <w:r>
        <w:t xml:space="preserve">This Quotation Estimate document was prepared exclusively for the named client and is non-transferable. Dhaka Talent Solutions Ltd., Gulshan-2, Bangladesh Dhaka-1212. Trade License No. 12345678. VAT Reg. No. 001234567-0000.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Bangladesh Dhaka</dc:title>
  <dc:creator/>
  <dc:language>en</dc:language>
  <cp:keywords/>
  <dcterms:created xsi:type="dcterms:W3CDTF">2026-10-10T07:00:37Z</dcterms:created>
  <dcterms:modified xsi:type="dcterms:W3CDTF">2026-10-10T07:00:37Z</dcterms:modified>
</cp:coreProperties>
</file>

<file path=docProps/custom.xml><?xml version="1.0" encoding="utf-8"?>
<Properties xmlns="http://schemas.openxmlformats.org/officeDocument/2006/custom-properties" xmlns:vt="http://schemas.openxmlformats.org/officeDocument/2006/docPropsVTypes"/>
</file>