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Egypt</w:t>
      </w:r>
      <w:r>
        <w:t xml:space="preserve"> </w:t>
      </w:r>
      <w:r>
        <w:t xml:space="preserve">Cairo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Position:</w:t>
      </w:r>
      <w:r>
        <w:t xml:space="preserve"> </w:t>
      </w:r>
      <w:r>
        <w:rPr>
          <w:bCs/>
          <w:b/>
        </w:rPr>
        <w:t xml:space="preserve">Human Resources Manager</w:t>
      </w:r>
      <w:r>
        <w:t xml:space="preserve"> </w:t>
      </w:r>
      <w:r>
        <w:t xml:space="preserve">| Location:</w:t>
      </w:r>
      <w:r>
        <w:t xml:space="preserve"> </w:t>
      </w:r>
      <w:r>
        <w:rPr>
          <w:bCs/>
          <w:b/>
        </w:rPr>
        <w:t xml:space="preserve">Egypt Cairo</w:t>
      </w:r>
    </w:p>
    <w:bookmarkEnd w:id="20"/>
    <w:p>
      <w:pPr>
        <w:pStyle w:val="BodyText"/>
      </w:pPr>
      <w:r>
        <w:rPr>
          <w:bCs/>
          <w:b/>
        </w:rPr>
        <w:t xml:space="preserve">Quotation No.:</w:t>
      </w:r>
      <w:r>
        <w:t xml:space="preserve"> </w:t>
      </w:r>
      <w:r>
        <w:t xml:space="preserve">QE-HRM-EGY-2025-0472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Nile Executive Search &amp; HR Consulting</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Nile Executive Search &amp; HR Consulting, a licensed recruitment and human capital advisory firm headquartered in the New Cairo District, to provide a comprehensive financial and operational breakdown for the recruitment, onboarding, and first-year engagement of a qualified</w:t>
      </w:r>
      <w:r>
        <w:t xml:space="preserve"> </w:t>
      </w:r>
      <w:r>
        <w:t xml:space="preserve">Human Resources Manager</w:t>
      </w:r>
      <w:r>
        <w:t xml:space="preserve"> </w:t>
      </w:r>
      <w:r>
        <w:t xml:space="preserve">for the client organization operating within</w:t>
      </w:r>
      <w:r>
        <w:t xml:space="preserve"> </w:t>
      </w:r>
      <w:r>
        <w:t xml:space="preserve">Egypt Cairo</w:t>
      </w:r>
      <w:r>
        <w:t xml:space="preserve">. This document serves as a binding financial proposal and outlines all associated costs, deliverables, timelines, and professional service terms applicable to the placement of a senior Human Resources Manager in the competitive Cairo job market.</w:t>
      </w:r>
    </w:p>
    <w:bookmarkEnd w:id="21"/>
    <w:bookmarkStart w:id="22" w:name="client-and-position-details"/>
    <w:p>
      <w:pPr>
        <w:pStyle w:val="Heading2"/>
      </w:pPr>
      <w:r>
        <w:t xml:space="preserve">2. Client and Position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Client Organization</w:t>
            </w:r>
          </w:p>
        </w:tc>
        <w:tc>
          <w:tcPr/>
          <w:p>
            <w:pPr>
              <w:pStyle w:val="Compact"/>
              <w:jc w:val="left"/>
            </w:pPr>
            <w:r>
              <w:t xml:space="preserve">Al-Nile Industrial &amp; Trading Group (Confidential)</w:t>
            </w:r>
          </w:p>
        </w:tc>
      </w:tr>
      <w:tr>
        <w:tc>
          <w:tcPr/>
          <w:p>
            <w:pPr>
              <w:pStyle w:val="Compact"/>
              <w:jc w:val="left"/>
            </w:pPr>
            <w:r>
              <w:t xml:space="preserve">Position Title</w:t>
            </w:r>
          </w:p>
        </w:tc>
        <w:tc>
          <w:tcPr/>
          <w:p>
            <w:pPr>
              <w:pStyle w:val="Compact"/>
              <w:jc w:val="left"/>
            </w:pPr>
            <w:r>
              <w:t xml:space="preserve">Human Resources Manager</w:t>
            </w:r>
          </w:p>
        </w:tc>
      </w:tr>
      <w:tr>
        <w:tc>
          <w:tcPr/>
          <w:p>
            <w:pPr>
              <w:pStyle w:val="Compact"/>
              <w:jc w:val="left"/>
            </w:pPr>
            <w:r>
              <w:t xml:space="preserve">Work Location</w:t>
            </w:r>
          </w:p>
        </w:tc>
        <w:tc>
          <w:tcPr/>
          <w:p>
            <w:pPr>
              <w:pStyle w:val="Compact"/>
              <w:jc w:val="left"/>
            </w:pPr>
            <w:r>
              <w:t xml:space="preserve">Headquarters, 12th of Ramadan City / New Cairo, Egypt Cairo</w:t>
            </w:r>
          </w:p>
        </w:tc>
      </w:tr>
      <w:tr>
        <w:tc>
          <w:tcPr/>
          <w:p>
            <w:pPr>
              <w:pStyle w:val="Compact"/>
              <w:jc w:val="left"/>
            </w:pPr>
            <w:r>
              <w:t xml:space="preserve">Employment Type</w:t>
            </w:r>
          </w:p>
        </w:tc>
        <w:tc>
          <w:tcPr/>
          <w:p>
            <w:pPr>
              <w:pStyle w:val="Compact"/>
              <w:jc w:val="left"/>
            </w:pPr>
            <w:r>
              <w:t xml:space="preserve">Full-Time, Permanent (12-month probationary period)</w:t>
            </w:r>
          </w:p>
        </w:tc>
      </w:tr>
      <w:tr>
        <w:tc>
          <w:tcPr/>
          <w:p>
            <w:pPr>
              <w:pStyle w:val="Compact"/>
              <w:jc w:val="left"/>
            </w:pPr>
            <w:r>
              <w:t xml:space="preserve">Reporting Line</w:t>
            </w:r>
          </w:p>
        </w:tc>
        <w:tc>
          <w:tcPr/>
          <w:p>
            <w:pPr>
              <w:pStyle w:val="Compact"/>
              <w:jc w:val="left"/>
            </w:pPr>
            <w:r>
              <w:t xml:space="preserve">Directly to the Chief Operating Officer (COO)</w:t>
            </w:r>
          </w:p>
        </w:tc>
      </w:tr>
      <w:tr>
        <w:tc>
          <w:tcPr/>
          <w:p>
            <w:pPr>
              <w:pStyle w:val="Compact"/>
              <w:jc w:val="left"/>
            </w:pPr>
            <w:r>
              <w:t xml:space="preserve">Team Size Managed</w:t>
            </w:r>
          </w:p>
        </w:tc>
        <w:tc>
          <w:tcPr/>
          <w:p>
            <w:pPr>
              <w:pStyle w:val="Compact"/>
              <w:jc w:val="left"/>
            </w:pPr>
            <w:r>
              <w:t xml:space="preserve">Approximately 350 employees across 4 departments</w:t>
            </w:r>
          </w:p>
        </w:tc>
      </w:tr>
      <w:tr>
        <w:tc>
          <w:tcPr/>
          <w:p>
            <w:pPr>
              <w:pStyle w:val="Compact"/>
              <w:jc w:val="left"/>
            </w:pPr>
            <w:r>
              <w:t xml:space="preserve">Required Experience</w:t>
            </w:r>
          </w:p>
        </w:tc>
        <w:tc>
          <w:tcPr/>
          <w:p>
            <w:pPr>
              <w:pStyle w:val="Compact"/>
              <w:jc w:val="left"/>
            </w:pPr>
            <w:r>
              <w:t xml:space="preserve">Minimum 10 years in HR management, with at least 5 years in a senior HR Manager or HR Director role within Egypt or the MENA region</w:t>
            </w:r>
          </w:p>
        </w:tc>
      </w:tr>
    </w:tbl>
    <w:bookmarkEnd w:id="22"/>
    <w:bookmarkStart w:id="23" w:name="X078810e5724ebd22b207a714bd8ae682207a7f8"/>
    <w:p>
      <w:pPr>
        <w:pStyle w:val="Heading2"/>
      </w:pPr>
      <w:r>
        <w:t xml:space="preserve">3. Scope of Services Included in This Quotation Estimate</w:t>
      </w:r>
    </w:p>
    <w:p>
      <w:pPr>
        <w:pStyle w:val="FirstParagraph"/>
      </w:pPr>
      <w:r>
        <w:t xml:space="preserve">The following professional services are encompassed within this</w:t>
      </w:r>
      <w:r>
        <w:t xml:space="preserve"> </w:t>
      </w:r>
      <w:r>
        <w:t xml:space="preserve">Quotation Estimate</w:t>
      </w:r>
      <w:r>
        <w:t xml:space="preserve"> </w:t>
      </w:r>
      <w:r>
        <w:t xml:space="preserve">for the recruitment and placement of the</w:t>
      </w:r>
      <w:r>
        <w:t xml:space="preserve"> </w:t>
      </w:r>
      <w:r>
        <w:t xml:space="preserve">Human Resources Manager</w:t>
      </w:r>
      <w:r>
        <w:t xml:space="preserve"> </w:t>
      </w:r>
      <w:r>
        <w:t xml:space="preserve">in</w:t>
      </w:r>
      <w:r>
        <w:t xml:space="preserve"> </w:t>
      </w:r>
      <w:r>
        <w:t xml:space="preserve">Egypt Cairo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Cost (EGP)</w:t>
            </w:r>
          </w:p>
        </w:tc>
      </w:tr>
      <w:tr>
        <w:tc>
          <w:tcPr/>
          <w:p>
            <w:pPr>
              <w:pStyle w:val="Compact"/>
              <w:jc w:val="left"/>
            </w:pPr>
            <w:r>
              <w:t xml:space="preserve">Market Research &amp; Job Profiling</w:t>
            </w:r>
          </w:p>
        </w:tc>
        <w:tc>
          <w:tcPr/>
          <w:p>
            <w:pPr>
              <w:pStyle w:val="Compact"/>
              <w:jc w:val="left"/>
            </w:pPr>
            <w:r>
              <w:t xml:space="preserve">Comprehensive analysis of the Human Resources Manager salary benchmark, skill requirements, and competitive landscape across Cairo's industrial, financial, and technology sectors. Includes review of Egyptian Labour Law (Law No. 12 of 2003) compliance for the role.</w:t>
            </w:r>
          </w:p>
        </w:tc>
        <w:tc>
          <w:tcPr/>
          <w:p>
            <w:pPr>
              <w:pStyle w:val="Compact"/>
              <w:jc w:val="left"/>
            </w:pPr>
            <w:r>
              <w:t xml:space="preserve">18,500</w:t>
            </w:r>
          </w:p>
        </w:tc>
      </w:tr>
      <w:tr>
        <w:tc>
          <w:tcPr/>
          <w:p>
            <w:pPr>
              <w:pStyle w:val="Compact"/>
              <w:jc w:val="left"/>
            </w:pPr>
            <w:r>
              <w:t xml:space="preserve">Job Advertisement &amp; Sourcing</w:t>
            </w:r>
          </w:p>
        </w:tc>
        <w:tc>
          <w:tcPr/>
          <w:p>
            <w:pPr>
              <w:pStyle w:val="Compact"/>
              <w:jc w:val="left"/>
            </w:pPr>
            <w:r>
              <w:t xml:space="preserve">Multi-channel recruitment campaign including LinkedIn, Bayt.com, Wuzzuf, and direct executive outreach to passive candidates in the Egypt Cairo metropolitan area. Minimum 60 qualified profiles sourced.</w:t>
            </w:r>
          </w:p>
        </w:tc>
        <w:tc>
          <w:tcPr/>
          <w:p>
            <w:pPr>
              <w:pStyle w:val="Compact"/>
              <w:jc w:val="left"/>
            </w:pPr>
            <w:r>
              <w:t xml:space="preserve">22,000</w:t>
            </w:r>
          </w:p>
        </w:tc>
      </w:tr>
      <w:tr>
        <w:tc>
          <w:tcPr/>
          <w:p>
            <w:pPr>
              <w:pStyle w:val="Compact"/>
              <w:jc w:val="left"/>
            </w:pPr>
            <w:r>
              <w:t xml:space="preserve">Screening &amp; Shortlisting</w:t>
            </w:r>
          </w:p>
        </w:tc>
        <w:tc>
          <w:tcPr/>
          <w:p>
            <w:pPr>
              <w:pStyle w:val="Compact"/>
              <w:jc w:val="left"/>
            </w:pPr>
            <w:r>
              <w:t xml:space="preserve">Initial CV screening, telephone interviews, psychometric assessments (DISC, MBTI), and competency-based interviews for a minimum of 15 shortlisted Human Resources Manager candidates.</w:t>
            </w:r>
          </w:p>
        </w:tc>
        <w:tc>
          <w:tcPr/>
          <w:p>
            <w:pPr>
              <w:pStyle w:val="Compact"/>
              <w:jc w:val="left"/>
            </w:pPr>
            <w:r>
              <w:t xml:space="preserve">15,000</w:t>
            </w:r>
          </w:p>
        </w:tc>
      </w:tr>
      <w:tr>
        <w:tc>
          <w:tcPr/>
          <w:p>
            <w:pPr>
              <w:pStyle w:val="Compact"/>
              <w:jc w:val="left"/>
            </w:pPr>
            <w:r>
              <w:t xml:space="preserve">Final Interview Coordination</w:t>
            </w:r>
          </w:p>
        </w:tc>
        <w:tc>
          <w:tcPr/>
          <w:p>
            <w:pPr>
              <w:pStyle w:val="Compact"/>
              <w:jc w:val="left"/>
            </w:pPr>
            <w:r>
              <w:t xml:space="preserve">Arrangement and facilitation of final in-person interviews at the client's New Cairo office, including panel interview design, reference verification, and background checks compliant with Egyptian data protection regulations.</w:t>
            </w:r>
          </w:p>
        </w:tc>
        <w:tc>
          <w:tcPr/>
          <w:p>
            <w:pPr>
              <w:pStyle w:val="Compact"/>
              <w:jc w:val="left"/>
            </w:pPr>
            <w:r>
              <w:t xml:space="preserve">12,000</w:t>
            </w:r>
          </w:p>
        </w:tc>
      </w:tr>
      <w:tr>
        <w:tc>
          <w:tcPr/>
          <w:p>
            <w:pPr>
              <w:pStyle w:val="Compact"/>
              <w:jc w:val="left"/>
            </w:pPr>
            <w:r>
              <w:t xml:space="preserve">Offer Negotiation &amp; Contract Preparation</w:t>
            </w:r>
          </w:p>
        </w:tc>
        <w:tc>
          <w:tcPr/>
          <w:p>
            <w:pPr>
              <w:pStyle w:val="Compact"/>
              <w:jc w:val="left"/>
            </w:pPr>
            <w:r>
              <w:t xml:space="preserve">Salary negotiation support, drafting of the employment contract in accordance with Egyptian Labour Law, and preparation of the onboarding package for the Human Resources Manager.</w:t>
            </w:r>
          </w:p>
        </w:tc>
        <w:tc>
          <w:tcPr/>
          <w:p>
            <w:pPr>
              <w:pStyle w:val="Compact"/>
              <w:jc w:val="left"/>
            </w:pPr>
            <w:r>
              <w:t xml:space="preserve">10,000</w:t>
            </w:r>
          </w:p>
        </w:tc>
      </w:tr>
      <w:tr>
        <w:tc>
          <w:tcPr/>
          <w:p>
            <w:pPr>
              <w:pStyle w:val="Compact"/>
              <w:jc w:val="left"/>
            </w:pPr>
            <w:r>
              <w:t xml:space="preserve">Onboarding &amp; 90-Day Integration Support</w:t>
            </w:r>
          </w:p>
        </w:tc>
        <w:tc>
          <w:tcPr/>
          <w:p>
            <w:pPr>
              <w:pStyle w:val="Compact"/>
              <w:jc w:val="left"/>
            </w:pPr>
            <w:r>
              <w:t xml:space="preserve">Structured 90-day onboarding programme for the newly appointed Human Resources Manager, including stakeholder mapping, departmental introductions, and bi-weekly check-in sessions with our HR advisory team in Egypt Cairo.</w:t>
            </w:r>
          </w:p>
        </w:tc>
        <w:tc>
          <w:tcPr/>
          <w:p>
            <w:pPr>
              <w:pStyle w:val="Compact"/>
              <w:jc w:val="left"/>
            </w:pPr>
            <w:r>
              <w:t xml:space="preserve">25,000</w:t>
            </w:r>
          </w:p>
        </w:tc>
      </w:tr>
      <w:tr>
        <w:tc>
          <w:tcPr/>
          <w:p>
            <w:pPr>
              <w:pStyle w:val="Compact"/>
              <w:jc w:val="left"/>
            </w:pPr>
            <w:r>
              <w:t xml:space="preserve">Replacement Guarantee (12 Months)</w:t>
            </w:r>
          </w:p>
        </w:tc>
        <w:tc>
          <w:tcPr/>
          <w:p>
            <w:pPr>
              <w:pStyle w:val="Compact"/>
              <w:jc w:val="left"/>
            </w:pPr>
            <w:r>
              <w:t xml:space="preserve">Complimentary re-recruitment of a replacement Human Resources Manager should the placed candidate resign or be terminated for cause within the first 12 months of employment.</w:t>
            </w:r>
          </w:p>
        </w:tc>
        <w:tc>
          <w:tcPr/>
          <w:p>
            <w:pPr>
              <w:pStyle w:val="Compact"/>
              <w:jc w:val="left"/>
            </w:pPr>
            <w:r>
              <w:t xml:space="preserve">Included</w:t>
            </w:r>
          </w:p>
        </w:tc>
      </w:tr>
      <w:tr>
        <w:tc>
          <w:tcPr>
            <w:gridSpan w:val="2"/>
          </w:tcPr>
          <w:p>
            <w:pPr>
              <w:pStyle w:val="Compact"/>
              <w:jc w:val="left"/>
            </w:pPr>
            <w:r>
              <w:t xml:space="preserve">Total Quotation Estimate Amount (Before VAT)</w:t>
            </w:r>
          </w:p>
        </w:tc>
        <w:tc>
          <w:tcPr/>
          <w:p>
            <w:pPr>
              <w:pStyle w:val="Compact"/>
              <w:jc w:val="left"/>
            </w:pPr>
            <w:r>
              <w:t xml:space="preserve">EGP 102,500</w:t>
            </w:r>
          </w:p>
        </w:tc>
      </w:tr>
      <w:tr>
        <w:tc>
          <w:tcPr>
            <w:gridSpan w:val="2"/>
          </w:tcPr>
          <w:p>
            <w:pPr>
              <w:pStyle w:val="Compact"/>
              <w:jc w:val="left"/>
            </w:pPr>
            <w:r>
              <w:t xml:space="preserve">VAT (14% – Egyptian Tax Authority)</w:t>
            </w:r>
          </w:p>
        </w:tc>
        <w:tc>
          <w:tcPr/>
          <w:p>
            <w:pPr>
              <w:pStyle w:val="Compact"/>
              <w:jc w:val="left"/>
            </w:pPr>
            <w:r>
              <w:t xml:space="preserve">EGP 14,350</w:t>
            </w:r>
          </w:p>
        </w:tc>
      </w:tr>
      <w:tr>
        <w:tc>
          <w:tcPr>
            <w:gridSpan w:val="2"/>
          </w:tcPr>
          <w:p>
            <w:pPr>
              <w:pStyle w:val="Compact"/>
              <w:jc w:val="left"/>
            </w:pPr>
            <w:r>
              <w:t xml:space="preserve">Grand Total (Incl. VAT)</w:t>
            </w:r>
          </w:p>
        </w:tc>
        <w:tc>
          <w:tcPr/>
          <w:p>
            <w:pPr>
              <w:pStyle w:val="Compact"/>
              <w:jc w:val="left"/>
            </w:pPr>
            <w:r>
              <w:t xml:space="preserve">EGP 116,850</w:t>
            </w:r>
          </w:p>
        </w:tc>
      </w:tr>
    </w:tbl>
    <w:bookmarkEnd w:id="23"/>
    <w:bookmarkStart w:id="24" w:name="X9e4b8a096fa46487e41db351c2dab26a5a4824b"/>
    <w:p>
      <w:pPr>
        <w:pStyle w:val="Heading2"/>
      </w:pPr>
      <w:r>
        <w:t xml:space="preserve">4. Candidate Compensation Benchmark (Advisory Reference)</w:t>
      </w:r>
    </w:p>
    <w:p>
      <w:pPr>
        <w:pStyle w:val="FirstParagraph"/>
      </w:pPr>
      <w:r>
        <w:t xml:space="preserve">As part of this</w:t>
      </w:r>
      <w:r>
        <w:t xml:space="preserve"> </w:t>
      </w:r>
      <w:r>
        <w:t xml:space="preserve">Quotation Estimate</w:t>
      </w:r>
      <w:r>
        <w:t xml:space="preserve">, we provide the following advisory salary benchmark for a</w:t>
      </w:r>
      <w:r>
        <w:t xml:space="preserve"> </w:t>
      </w:r>
      <w:r>
        <w:t xml:space="preserve">Human Resources Manager</w:t>
      </w:r>
      <w:r>
        <w:t xml:space="preserve"> </w:t>
      </w:r>
      <w:r>
        <w:t xml:space="preserve">based in</w:t>
      </w:r>
      <w:r>
        <w:t xml:space="preserve"> </w:t>
      </w:r>
      <w:r>
        <w:t xml:space="preserve">Egypt Cairo</w:t>
      </w:r>
      <w:r>
        <w:t xml:space="preserve"> </w:t>
      </w:r>
      <w:r>
        <w:t xml:space="preserve">for the client's reference during offer negotiations. These figures reflect mid-2025 market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Compensation Element</w:t>
            </w:r>
          </w:p>
        </w:tc>
        <w:tc>
          <w:tcPr/>
          <w:p>
            <w:pPr>
              <w:pStyle w:val="Compact"/>
              <w:jc w:val="left"/>
            </w:pPr>
            <w:r>
              <w:t xml:space="preserve">Monthly Range (EGP)</w:t>
            </w:r>
          </w:p>
        </w:tc>
        <w:tc>
          <w:tcPr/>
          <w:p>
            <w:pPr>
              <w:pStyle w:val="Compact"/>
              <w:jc w:val="left"/>
            </w:pPr>
            <w:r>
              <w:t xml:space="preserve">Annual Range (EGP)</w:t>
            </w:r>
          </w:p>
        </w:tc>
      </w:tr>
      <w:tr>
        <w:tc>
          <w:tcPr/>
          <w:p>
            <w:pPr>
              <w:pStyle w:val="Compact"/>
              <w:jc w:val="left"/>
            </w:pPr>
            <w:r>
              <w:t xml:space="preserve">Base Salary</w:t>
            </w:r>
          </w:p>
        </w:tc>
        <w:tc>
          <w:tcPr/>
          <w:p>
            <w:pPr>
              <w:pStyle w:val="Compact"/>
              <w:jc w:val="left"/>
            </w:pPr>
            <w:r>
              <w:t xml:space="preserve">45,000 – 75,000</w:t>
            </w:r>
          </w:p>
        </w:tc>
        <w:tc>
          <w:tcPr/>
          <w:p>
            <w:pPr>
              <w:pStyle w:val="Compact"/>
              <w:jc w:val="left"/>
            </w:pPr>
            <w:r>
              <w:t xml:space="preserve">540,000 – 900,000</w:t>
            </w:r>
          </w:p>
        </w:tc>
      </w:tr>
      <w:tr>
        <w:tc>
          <w:tcPr/>
          <w:p>
            <w:pPr>
              <w:pStyle w:val="Compact"/>
              <w:jc w:val="left"/>
            </w:pPr>
            <w:r>
              <w:t xml:space="preserve">Performance Bonus (Annual)</w:t>
            </w:r>
          </w:p>
        </w:tc>
        <w:tc>
          <w:tcPr/>
          <w:p>
            <w:pPr>
              <w:pStyle w:val="Compact"/>
              <w:jc w:val="left"/>
            </w:pPr>
            <w:r>
              <w:t xml:space="preserve">—</w:t>
            </w:r>
          </w:p>
        </w:tc>
        <w:tc>
          <w:tcPr/>
          <w:p>
            <w:pPr>
              <w:pStyle w:val="Compact"/>
              <w:jc w:val="left"/>
            </w:pPr>
            <w:r>
              <w:t xml:space="preserve">90,000 – 180,000</w:t>
            </w:r>
          </w:p>
        </w:tc>
      </w:tr>
      <w:tr>
        <w:tc>
          <w:tcPr/>
          <w:p>
            <w:pPr>
              <w:pStyle w:val="Compact"/>
              <w:jc w:val="left"/>
            </w:pPr>
            <w:r>
              <w:t xml:space="preserve">Health Insurance (Family Coverage)</w:t>
            </w:r>
          </w:p>
        </w:tc>
        <w:tc>
          <w:tcPr/>
          <w:p>
            <w:pPr>
              <w:pStyle w:val="Compact"/>
              <w:jc w:val="left"/>
            </w:pPr>
            <w:r>
              <w:t xml:space="preserve">3,500 – 6,000</w:t>
            </w:r>
          </w:p>
        </w:tc>
        <w:tc>
          <w:tcPr/>
          <w:p>
            <w:pPr>
              <w:pStyle w:val="Compact"/>
              <w:jc w:val="left"/>
            </w:pPr>
            <w:r>
              <w:t xml:space="preserve">42,000 – 72,000</w:t>
            </w:r>
          </w:p>
        </w:tc>
      </w:tr>
      <w:tr>
        <w:tc>
          <w:tcPr/>
          <w:p>
            <w:pPr>
              <w:pStyle w:val="Compact"/>
              <w:jc w:val="left"/>
            </w:pPr>
            <w:r>
              <w:t xml:space="preserve">Transportation / Car Allowance</w:t>
            </w:r>
          </w:p>
        </w:tc>
        <w:tc>
          <w:tcPr/>
          <w:p>
            <w:pPr>
              <w:pStyle w:val="Compact"/>
              <w:jc w:val="left"/>
            </w:pPr>
            <w:r>
              <w:t xml:space="preserve">4,000 – 8,000</w:t>
            </w:r>
          </w:p>
        </w:tc>
        <w:tc>
          <w:tcPr/>
          <w:p>
            <w:pPr>
              <w:pStyle w:val="Compact"/>
              <w:jc w:val="left"/>
            </w:pPr>
            <w:r>
              <w:t xml:space="preserve">48,000 – 96,000</w:t>
            </w:r>
          </w:p>
        </w:tc>
      </w:tr>
      <w:tr>
        <w:tc>
          <w:tcPr/>
          <w:p>
            <w:pPr>
              <w:pStyle w:val="Compact"/>
              <w:jc w:val="left"/>
            </w:pPr>
            <w:r>
              <w:t xml:space="preserve">Annual Leave</w:t>
            </w:r>
          </w:p>
        </w:tc>
        <w:tc>
          <w:tcPr>
            <w:gridSpan w:val="2"/>
          </w:tcPr>
          <w:p>
            <w:pPr>
              <w:pStyle w:val="Compact"/>
              <w:jc w:val="left"/>
            </w:pPr>
            <w:r>
              <w:t xml:space="preserve">30 calendar days (per Egyptian Labour Law minimum)</w:t>
            </w:r>
          </w:p>
        </w:tc>
      </w:tr>
    </w:tbl>
    <w:bookmarkEnd w:id="24"/>
    <w:bookmarkStart w:id="25" w:name="payment-terms-and-schedule"/>
    <w:p>
      <w:pPr>
        <w:pStyle w:val="Heading2"/>
      </w:pPr>
      <w:r>
        <w:t xml:space="preserve">5. Payment Terms and Schedule</w:t>
      </w:r>
    </w:p>
    <w:p>
      <w:pPr>
        <w:pStyle w:val="FirstParagraph"/>
      </w:pPr>
      <w:r>
        <w:t xml:space="preserve">The total amount specified in this</w:t>
      </w:r>
      <w:r>
        <w:t xml:space="preserve"> </w:t>
      </w:r>
      <w:r>
        <w:t xml:space="preserve">Quotation Estimate</w:t>
      </w:r>
      <w:r>
        <w:t xml:space="preserve"> </w:t>
      </w:r>
      <w:r>
        <w:t xml:space="preserve">shall be paid by the client to Nile Executive Search &amp; HR Consulting via bank transfer to our account at CIB (Commercial International Bank), Cairo Branch, in the following instalments:</w:t>
      </w:r>
    </w:p>
    <w:p>
      <w:pPr>
        <w:numPr>
          <w:ilvl w:val="0"/>
          <w:numId w:val="1001"/>
        </w:numPr>
        <w:pStyle w:val="Compact"/>
      </w:pPr>
      <w:r>
        <w:rPr>
          <w:bCs/>
          <w:b/>
        </w:rPr>
        <w:t xml:space="preserve">Instalment 1 (40%):</w:t>
      </w:r>
      <w:r>
        <w:t xml:space="preserve"> </w:t>
      </w:r>
      <w:r>
        <w:t xml:space="preserve">EGP 46,740 – Due upon signed acceptance of this Quotation Estimate and commencement of the Human Resources Manager search in Egypt Cairo.</w:t>
      </w:r>
    </w:p>
    <w:p>
      <w:pPr>
        <w:numPr>
          <w:ilvl w:val="0"/>
          <w:numId w:val="1001"/>
        </w:numPr>
        <w:pStyle w:val="Compact"/>
      </w:pPr>
      <w:r>
        <w:rPr>
          <w:bCs/>
          <w:b/>
        </w:rPr>
        <w:t xml:space="preserve">Instalment 2 (35%):</w:t>
      </w:r>
      <w:r>
        <w:t xml:space="preserve"> </w:t>
      </w:r>
      <w:r>
        <w:t xml:space="preserve">EGP 40,897.50 – Due upon successful completion of final interviews and issuance of the formal offer letter to the selected Human Resources Manager candidate.</w:t>
      </w:r>
    </w:p>
    <w:p>
      <w:pPr>
        <w:numPr>
          <w:ilvl w:val="0"/>
          <w:numId w:val="1001"/>
        </w:numPr>
        <w:pStyle w:val="Compact"/>
      </w:pPr>
      <w:r>
        <w:rPr>
          <w:bCs/>
          <w:b/>
        </w:rPr>
        <w:t xml:space="preserve">Instalment 3 (25%):</w:t>
      </w:r>
      <w:r>
        <w:t xml:space="preserve"> </w:t>
      </w:r>
      <w:r>
        <w:t xml:space="preserve">EGP 29,212.50 – Due upon the candidate's successful completion of the 90-day onboarding period and confirmation of satisfactory integration into the Egypt Cairo office.</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thirty (30) calendar days from the date of issue. Beyond this period, all fees and benchmarks are subject to revision based on prevailing market conditions in Egypt Cairo.</w:t>
      </w:r>
    </w:p>
    <w:p>
      <w:pPr>
        <w:numPr>
          <w:ilvl w:val="0"/>
          <w:numId w:val="1002"/>
        </w:numPr>
        <w:pStyle w:val="Compact"/>
      </w:pPr>
      <w:r>
        <w:t xml:space="preserve">All services described herein shall be performed in full compliance with the Egyptian Labour Law (Law No. 12 of 2003, as amended), the Egyptian Personal Data Protection Law (Law No. 171 of 2020), and applicable tax regulations of the Egyptian Tax Authority.</w:t>
      </w:r>
    </w:p>
    <w:p>
      <w:pPr>
        <w:numPr>
          <w:ilvl w:val="0"/>
          <w:numId w:val="1002"/>
        </w:numPr>
        <w:pStyle w:val="Compact"/>
      </w:pPr>
      <w:r>
        <w:t xml:space="preserve">The 12-month replacement guarantee applies exclusively to the Human Resources Manager position and is limited to one (1) replacement candidate per engagement.</w:t>
      </w:r>
    </w:p>
    <w:p>
      <w:pPr>
        <w:numPr>
          <w:ilvl w:val="0"/>
          <w:numId w:val="1002"/>
        </w:numPr>
        <w:pStyle w:val="Compact"/>
      </w:pPr>
      <w:r>
        <w:t xml:space="preserve">Confidentiality: All candidate data, salary information, and organizational details shared during this engagement shall be treated as strictly confidential and shall not be disclosed to any third party without written consent from the client.</w:t>
      </w:r>
    </w:p>
    <w:p>
      <w:pPr>
        <w:numPr>
          <w:ilvl w:val="0"/>
          <w:numId w:val="1002"/>
        </w:numPr>
        <w:pStyle w:val="Compact"/>
      </w:pPr>
      <w:r>
        <w:t xml:space="preserve">Dispute resolution: Any disputes arising from this Quotation Estimate shall be governed by the laws of the Arab Republic of Egypt and shall be subject to the exclusive jurisdiction of the competent courts in Cairo, Egypt.</w:t>
      </w:r>
    </w:p>
    <w:p>
      <w:pPr>
        <w:numPr>
          <w:ilvl w:val="0"/>
          <w:numId w:val="1002"/>
        </w:numPr>
        <w:pStyle w:val="Compact"/>
      </w:pPr>
      <w:r>
        <w:t xml:space="preserve">This Quotation Estimate does not constitute an employment contract between the client and the placed Human Resources Manager. The employment relationship is governed solely by the separate employment agreement executed between the client and the candidate.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Nile Executive Search &amp; HR Consulting to proceed with the recruitment and placement of the</w:t>
      </w:r>
      <w:r>
        <w:t xml:space="preserve"> </w:t>
      </w:r>
      <w:r>
        <w:t xml:space="preserve">Human Resources Manager</w:t>
      </w:r>
      <w:r>
        <w:t xml:space="preserve"> </w:t>
      </w:r>
      <w:r>
        <w:t xml:space="preserve">in</w:t>
      </w:r>
      <w:r>
        <w:t xml:space="preserve"> </w:t>
      </w:r>
      <w:r>
        <w:t xml:space="preserve">Egypt Cairo</w:t>
      </w:r>
      <w:r>
        <w:t xml:space="preserve"> </w:t>
      </w:r>
      <w:r>
        <w:t xml:space="preserve">under the terms and conditions outlined in this document.</w:t>
      </w:r>
    </w:p>
    <w:p>
      <w:pPr>
        <w:pStyle w:val="BodyText"/>
      </w:pPr>
      <w:r>
        <w:rPr>
          <w:bCs/>
          <w:b/>
        </w:rPr>
        <w:t xml:space="preserve">For Nile Executive Search &amp; HR Consulting</w:t>
      </w:r>
    </w:p>
    <w:p>
      <w:pPr>
        <w:pStyle w:val="BodyText"/>
      </w:pPr>
      <w:r>
        <w:t xml:space="preserve">Dr. Mahmoud El-Sayed</w:t>
      </w:r>
      <w:r>
        <w:br/>
      </w:r>
      <w:r>
        <w:t xml:space="preserve">Managing Director</w:t>
      </w:r>
      <w:r>
        <w:br/>
      </w:r>
      <w:r>
        <w:t xml:space="preserve">Date: _______________</w:t>
      </w:r>
    </w:p>
    <w:p>
      <w:pPr>
        <w:pStyle w:val="BodyText"/>
      </w:pPr>
      <w:r>
        <w:rPr>
          <w:bCs/>
          <w:b/>
        </w:rPr>
        <w:t xml:space="preserve">For the Client Organization</w:t>
      </w:r>
    </w:p>
    <w:p>
      <w:pPr>
        <w:pStyle w:val="BodyText"/>
      </w:pPr>
      <w:r>
        <w:t xml:space="preserve">Authorized Signatory</w:t>
      </w:r>
      <w:r>
        <w:br/>
      </w:r>
      <w:r>
        <w:t xml:space="preserve">Al-Nile Industrial &amp; Trading Group</w:t>
      </w:r>
      <w:r>
        <w:br/>
      </w:r>
      <w:r>
        <w:t xml:space="preserve">Date: _______________</w:t>
      </w:r>
    </w:p>
    <w:p>
      <w:pPr>
        <w:pStyle w:val="BodyText"/>
      </w:pPr>
      <w:r>
        <w:t xml:space="preserve">Nile Executive Search &amp; HR Consulting | 45 El-Tahrir Street, New Cairo, Egypt Cairo | Tel: +20 2 2587 4410 | Email: proposals@nileexecsearch.com.eg</w:t>
      </w:r>
    </w:p>
    <w:p>
      <w:pPr>
        <w:pStyle w:val="BodyText"/>
      </w:pPr>
      <w:r>
        <w:t xml:space="preserve">Commercial Registration No. 184729 | Tax ID: 552-847-193 | This Quotation Estimate is the property of Nile Executive Search &amp; HR Consulting and may not be reproduced without written permission.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Egypt Cairo</dc:title>
  <dc:creator/>
  <dc:language>en</dc:language>
  <cp:keywords/>
  <dcterms:created xsi:type="dcterms:W3CDTF">2026-10-10T01:15:48Z</dcterms:created>
  <dcterms:modified xsi:type="dcterms:W3CDTF">2026-10-10T01:15:48Z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