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Human Resources Manager Services</w:t>
      </w:r>
    </w:p>
    <w:p>
      <w:pPr>
        <w:pStyle w:val="BodyText"/>
      </w:pPr>
      <w:r>
        <w:t xml:space="preserve">Prepared for Clients in Iran Tehran</w:t>
      </w:r>
    </w:p>
    <w:bookmarkEnd w:id="20"/>
    <w:p>
      <w:pPr>
        <w:pStyle w:val="BodyText"/>
      </w:pPr>
      <w:r>
        <w:rPr>
          <w:bCs/>
          <w:b/>
        </w:rPr>
        <w:t xml:space="preserve">Quotation No.:</w:t>
      </w:r>
      <w:r>
        <w:t xml:space="preserve"> </w:t>
      </w:r>
      <w:r>
        <w:t xml:space="preserve">QTE-THR-2025-0472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Location:</w:t>
      </w:r>
      <w:r>
        <w:t xml:space="preserve"> </w:t>
      </w:r>
      <w:r>
        <w:t xml:space="preserve">Iran Tehran</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costs associated with the recruitment, placement, and ongoing professional services of a</w:t>
      </w:r>
      <w:r>
        <w:t xml:space="preserve"> </w:t>
      </w:r>
      <w:r>
        <w:t xml:space="preserve">Human Resources Manager</w:t>
      </w:r>
      <w:r>
        <w:t xml:space="preserve"> </w:t>
      </w:r>
      <w:r>
        <w:t xml:space="preserve">for organizations operating within</w:t>
      </w:r>
      <w:r>
        <w:t xml:space="preserve"> </w:t>
      </w:r>
      <w:r>
        <w:t xml:space="preserve">Iran Tehran</w:t>
      </w:r>
      <w:r>
        <w:t xml:space="preserve">. This estimate is intended to serve as a formal financial proposal that outlines all applicable fees, service deliverables, and contractual terms governing the engagement. The scope of this Quotation Estimate reflects the specific labor market conditions, regulatory requirements, and operational realities unique to the Iran Tehran metropolitan area.</w:t>
      </w:r>
    </w:p>
    <w:p>
      <w:pPr>
        <w:pStyle w:val="BodyText"/>
      </w:pPr>
      <w:r>
        <w:t xml:space="preserve">Our firm specializes in executive-level human capital solutions tailored to the Iranian business environment. This Quotation Estimate addresses the full lifecycle of securing a qualified Human Resources Manager who will be responsible for workforce planning, employee relations, compliance with Iranian labor law, performance management, and organizational development within the client's Tehran-based operations.</w:t>
      </w:r>
    </w:p>
    <w:bookmarkEnd w:id="21"/>
    <w:bookmarkStart w:id="22" w:name="scope-of-services"/>
    <w:p>
      <w:pPr>
        <w:pStyle w:val="Heading2"/>
      </w:pPr>
      <w:r>
        <w:t xml:space="preserve">2. Scope of Services</w:t>
      </w:r>
    </w:p>
    <w:p>
      <w:pPr>
        <w:pStyle w:val="FirstParagraph"/>
      </w:pPr>
      <w:r>
        <w:t xml:space="preserve">The services covered under this Quotation Estimate for the Human Resources Manager position in Iran Tehran include the following deliverables:</w:t>
      </w:r>
    </w:p>
    <w:p>
      <w:pPr>
        <w:numPr>
          <w:ilvl w:val="0"/>
          <w:numId w:val="1001"/>
        </w:numPr>
        <w:pStyle w:val="Compact"/>
      </w:pPr>
      <w:r>
        <w:rPr>
          <w:bCs/>
          <w:b/>
        </w:rPr>
        <w:t xml:space="preserve">Executive Search and Sourcing:</w:t>
      </w:r>
      <w:r>
        <w:t xml:space="preserve"> </w:t>
      </w:r>
      <w:r>
        <w:t xml:space="preserve">Identification, screening, and shortlisting of qualified Human Resources Manager candidates with a minimum of eight (8) years of progressive HR experience in the Iran Tehran market, including familiarity with the Iranian Labor Code (Qanun-e Kar) and local employment regulations.</w:t>
      </w:r>
    </w:p>
    <w:p>
      <w:pPr>
        <w:numPr>
          <w:ilvl w:val="0"/>
          <w:numId w:val="1001"/>
        </w:numPr>
        <w:pStyle w:val="Compact"/>
      </w:pPr>
      <w:r>
        <w:rPr>
          <w:bCs/>
          <w:b/>
        </w:rPr>
        <w:t xml:space="preserve">Assessment and Vetting:</w:t>
      </w:r>
      <w:r>
        <w:t xml:space="preserve"> </w:t>
      </w:r>
      <w:r>
        <w:t xml:space="preserve">Conducting structured interviews, psychometric evaluations, reference checks, and background verification in accordance with Iranian data protection and privacy standards applicable in Tehran.</w:t>
      </w:r>
    </w:p>
    <w:p>
      <w:pPr>
        <w:numPr>
          <w:ilvl w:val="0"/>
          <w:numId w:val="1001"/>
        </w:numPr>
        <w:pStyle w:val="Compact"/>
      </w:pPr>
      <w:r>
        <w:rPr>
          <w:bCs/>
          <w:b/>
        </w:rPr>
        <w:t xml:space="preserve">Onboarding and Integration:</w:t>
      </w:r>
      <w:r>
        <w:t xml:space="preserve"> </w:t>
      </w:r>
      <w:r>
        <w:t xml:space="preserve">Facilitating the onboarding process for the appointed Human Resources Manager, including orientation to local labor practices, social insurance enrollment (Bimeh Tamin-e Ejtemaei), and integration into the client's organizational structure in Tehran.</w:t>
      </w:r>
    </w:p>
    <w:p>
      <w:pPr>
        <w:numPr>
          <w:ilvl w:val="0"/>
          <w:numId w:val="1001"/>
        </w:numPr>
        <w:pStyle w:val="Compact"/>
      </w:pPr>
      <w:r>
        <w:rPr>
          <w:bCs/>
          <w:b/>
        </w:rPr>
        <w:t xml:space="preserve">First-Year Performance Monitoring:</w:t>
      </w:r>
      <w:r>
        <w:t xml:space="preserve"> </w:t>
      </w:r>
      <w:r>
        <w:t xml:space="preserve">Providing quarterly performance reviews and strategic HR consulting support for the first twelve (12) months of the Human Resources Manager's tenure in the Iran Tehran operation.</w:t>
      </w:r>
    </w:p>
    <w:p>
      <w:pPr>
        <w:numPr>
          <w:ilvl w:val="0"/>
          <w:numId w:val="1001"/>
        </w:numPr>
        <w:pStyle w:val="Compact"/>
      </w:pPr>
      <w:r>
        <w:rPr>
          <w:bCs/>
          <w:b/>
        </w:rPr>
        <w:t xml:space="preserve">Regulatory Compliance Advisory:</w:t>
      </w:r>
      <w:r>
        <w:t xml:space="preserve"> </w:t>
      </w:r>
      <w:r>
        <w:t xml:space="preserve">Ongoing advisory on changes to Iranian employment law, minimum wage adjustments announced by the Supreme Labor Council, and social insurance contribution updates relevant to Tehran-based employers.</w:t>
      </w:r>
    </w:p>
    <w:bookmarkEnd w:id="22"/>
    <w:bookmarkStart w:id="23" w:name="financial-breakdown"/>
    <w:p>
      <w:pPr>
        <w:pStyle w:val="Heading2"/>
      </w:pPr>
      <w:r>
        <w:t xml:space="preserve">3. Financial Breakdown</w:t>
      </w:r>
    </w:p>
    <w:p>
      <w:pPr>
        <w:pStyle w:val="FirstParagraph"/>
      </w:pPr>
      <w:r>
        <w:t xml:space="preserve">The following table presents the itemized costs included in this Quotation Estimate. All amounts are quoted in Iranian Rials (IRR) and are subject to the prevailing exchange rates and tax regulations in Iran Tehran at the time of contract execution.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Cost (IRR)</w:t>
            </w:r>
          </w:p>
        </w:tc>
      </w:tr>
      <w:tr>
        <w:tc>
          <w:tcPr/>
          <w:p>
            <w:pPr>
              <w:pStyle w:val="Compact"/>
              <w:jc w:val="left"/>
            </w:pPr>
            <w:r>
              <w:t xml:space="preserve">01</w:t>
            </w:r>
          </w:p>
        </w:tc>
        <w:tc>
          <w:tcPr/>
          <w:p>
            <w:pPr>
              <w:pStyle w:val="Compact"/>
              <w:jc w:val="left"/>
            </w:pPr>
            <w:r>
              <w:t xml:space="preserve">Executive search and candidate sourcing for Human Resources Manager role in Iran Tehran</w:t>
            </w:r>
          </w:p>
        </w:tc>
        <w:tc>
          <w:tcPr/>
          <w:p>
            <w:pPr>
              <w:pStyle w:val="Compact"/>
              <w:jc w:val="left"/>
            </w:pPr>
            <w:r>
              <w:t xml:space="preserve">4–6 weeks</w:t>
            </w:r>
          </w:p>
        </w:tc>
        <w:tc>
          <w:tcPr/>
          <w:p>
            <w:pPr>
              <w:pStyle w:val="Compact"/>
              <w:jc w:val="left"/>
            </w:pPr>
            <w:r>
              <w:t xml:space="preserve">285,000,000</w:t>
            </w:r>
          </w:p>
        </w:tc>
      </w:tr>
      <w:tr>
        <w:tc>
          <w:tcPr/>
          <w:p>
            <w:pPr>
              <w:pStyle w:val="Compact"/>
              <w:jc w:val="left"/>
            </w:pPr>
            <w:r>
              <w:t xml:space="preserve">02</w:t>
            </w:r>
          </w:p>
        </w:tc>
        <w:tc>
          <w:tcPr/>
          <w:p>
            <w:pPr>
              <w:pStyle w:val="Compact"/>
              <w:jc w:val="left"/>
            </w:pPr>
            <w:r>
              <w:t xml:space="preserve">Structured assessment, interviews, and background verification</w:t>
            </w:r>
          </w:p>
        </w:tc>
        <w:tc>
          <w:tcPr/>
          <w:p>
            <w:pPr>
              <w:pStyle w:val="Compact"/>
              <w:jc w:val="left"/>
            </w:pPr>
            <w:r>
              <w:t xml:space="preserve">2 weeks</w:t>
            </w:r>
          </w:p>
        </w:tc>
        <w:tc>
          <w:tcPr/>
          <w:p>
            <w:pPr>
              <w:pStyle w:val="Compact"/>
              <w:jc w:val="left"/>
            </w:pPr>
            <w:r>
              <w:t xml:space="preserve">120,000,000</w:t>
            </w:r>
          </w:p>
        </w:tc>
      </w:tr>
      <w:tr>
        <w:tc>
          <w:tcPr/>
          <w:p>
            <w:pPr>
              <w:pStyle w:val="Compact"/>
              <w:jc w:val="left"/>
            </w:pPr>
            <w:r>
              <w:t xml:space="preserve">03</w:t>
            </w:r>
          </w:p>
        </w:tc>
        <w:tc>
          <w:tcPr/>
          <w:p>
            <w:pPr>
              <w:pStyle w:val="Compact"/>
              <w:jc w:val="left"/>
            </w:pPr>
            <w:r>
              <w:t xml:space="preserve">Onboarding facilitation and social insurance registration in Tehran</w:t>
            </w:r>
          </w:p>
        </w:tc>
        <w:tc>
          <w:tcPr/>
          <w:p>
            <w:pPr>
              <w:pStyle w:val="Compact"/>
              <w:jc w:val="left"/>
            </w:pPr>
            <w:r>
              <w:t xml:space="preserve">2 weeks</w:t>
            </w:r>
          </w:p>
        </w:tc>
        <w:tc>
          <w:tcPr/>
          <w:p>
            <w:pPr>
              <w:pStyle w:val="Compact"/>
              <w:jc w:val="left"/>
            </w:pPr>
            <w:r>
              <w:t xml:space="preserve">75,000,000</w:t>
            </w:r>
          </w:p>
        </w:tc>
      </w:tr>
      <w:tr>
        <w:tc>
          <w:tcPr/>
          <w:p>
            <w:pPr>
              <w:pStyle w:val="Compact"/>
              <w:jc w:val="left"/>
            </w:pPr>
            <w:r>
              <w:t xml:space="preserve">04</w:t>
            </w:r>
          </w:p>
        </w:tc>
        <w:tc>
          <w:tcPr/>
          <w:p>
            <w:pPr>
              <w:pStyle w:val="Compact"/>
              <w:jc w:val="left"/>
            </w:pPr>
            <w:r>
              <w:t xml:space="preserve">Quarterly performance monitoring and HR strategy consulting (4 sessions)</w:t>
            </w:r>
          </w:p>
        </w:tc>
        <w:tc>
          <w:tcPr/>
          <w:p>
            <w:pPr>
              <w:pStyle w:val="Compact"/>
              <w:jc w:val="left"/>
            </w:pPr>
            <w:r>
              <w:t xml:space="preserve">12 months</w:t>
            </w:r>
          </w:p>
        </w:tc>
        <w:tc>
          <w:tcPr/>
          <w:p>
            <w:pPr>
              <w:pStyle w:val="Compact"/>
              <w:jc w:val="left"/>
            </w:pPr>
            <w:r>
              <w:t xml:space="preserve">340,000,000</w:t>
            </w:r>
          </w:p>
        </w:tc>
      </w:tr>
      <w:tr>
        <w:tc>
          <w:tcPr/>
          <w:p>
            <w:pPr>
              <w:pStyle w:val="Compact"/>
              <w:jc w:val="left"/>
            </w:pPr>
            <w:r>
              <w:t xml:space="preserve">05</w:t>
            </w:r>
          </w:p>
        </w:tc>
        <w:tc>
          <w:tcPr/>
          <w:p>
            <w:pPr>
              <w:pStyle w:val="Compact"/>
              <w:jc w:val="left"/>
            </w:pPr>
            <w:r>
              <w:t xml:space="preserve">Regulatory compliance advisory and labor law updates (Iran Tehran jurisdiction)</w:t>
            </w:r>
          </w:p>
        </w:tc>
        <w:tc>
          <w:tcPr/>
          <w:p>
            <w:pPr>
              <w:pStyle w:val="Compact"/>
              <w:jc w:val="left"/>
            </w:pPr>
            <w:r>
              <w:t xml:space="preserve">12 months</w:t>
            </w:r>
          </w:p>
        </w:tc>
        <w:tc>
          <w:tcPr/>
          <w:p>
            <w:pPr>
              <w:pStyle w:val="Compact"/>
              <w:jc w:val="left"/>
            </w:pPr>
            <w:r>
              <w:t xml:space="preserve">180,000,000</w:t>
            </w:r>
          </w:p>
        </w:tc>
      </w:tr>
      <w:tr>
        <w:tc>
          <w:tcPr/>
          <w:p>
            <w:pPr>
              <w:pStyle w:val="Compact"/>
              <w:jc w:val="left"/>
            </w:pPr>
            <w:r>
              <w:t xml:space="preserve">06</w:t>
            </w:r>
          </w:p>
        </w:tc>
        <w:tc>
          <w:tcPr/>
          <w:p>
            <w:pPr>
              <w:pStyle w:val="Compact"/>
              <w:jc w:val="left"/>
            </w:pPr>
            <w:r>
              <w:t xml:space="preserve">Contingency and administrative overhead</w:t>
            </w:r>
          </w:p>
        </w:tc>
        <w:tc>
          <w:tcPr/>
          <w:p>
            <w:pPr>
              <w:pStyle w:val="Compact"/>
              <w:jc w:val="left"/>
            </w:pPr>
            <w:r>
              <w:t xml:space="preserve">12 months</w:t>
            </w:r>
          </w:p>
        </w:tc>
        <w:tc>
          <w:tcPr/>
          <w:p>
            <w:pPr>
              <w:pStyle w:val="Compact"/>
              <w:jc w:val="left"/>
            </w:pPr>
            <w:r>
              <w:t xml:space="preserve">95,000,000</w:t>
            </w:r>
          </w:p>
        </w:tc>
      </w:tr>
      <w:tr>
        <w:tc>
          <w:tcPr>
            <w:gridSpan w:val="3"/>
          </w:tcPr>
          <w:p>
            <w:pPr>
              <w:pStyle w:val="Compact"/>
              <w:jc w:val="left"/>
            </w:pPr>
            <w:r>
              <w:t xml:space="preserve">Total Quotation Estimate (Before VAT)</w:t>
            </w:r>
          </w:p>
        </w:tc>
        <w:tc>
          <w:tcPr/>
          <w:p>
            <w:pPr>
              <w:pStyle w:val="Compact"/>
              <w:jc w:val="left"/>
            </w:pPr>
            <w:r>
              <w:t xml:space="preserve">1,095,000,000</w:t>
            </w:r>
          </w:p>
        </w:tc>
      </w:tr>
      <w:tr>
        <w:tc>
          <w:tcPr>
            <w:gridSpan w:val="3"/>
          </w:tcPr>
          <w:p>
            <w:pPr>
              <w:pStyle w:val="Compact"/>
              <w:jc w:val="left"/>
            </w:pPr>
            <w:r>
              <w:t xml:space="preserve">Value Added Tax (VAT) – 10% (Iranian standard rate)</w:t>
            </w:r>
          </w:p>
        </w:tc>
        <w:tc>
          <w:tcPr/>
          <w:p>
            <w:pPr>
              <w:pStyle w:val="Compact"/>
              <w:jc w:val="left"/>
            </w:pPr>
            <w:r>
              <w:t xml:space="preserve">109,500,000</w:t>
            </w:r>
          </w:p>
        </w:tc>
      </w:tr>
      <w:tr>
        <w:tc>
          <w:tcPr>
            <w:gridSpan w:val="3"/>
          </w:tcPr>
          <w:p>
            <w:pPr>
              <w:pStyle w:val="Compact"/>
              <w:jc w:val="left"/>
            </w:pPr>
            <w:r>
              <w:t xml:space="preserve">Grand Total (Inclusive of VAT)</w:t>
            </w:r>
          </w:p>
        </w:tc>
        <w:tc>
          <w:tcPr/>
          <w:p>
            <w:pPr>
              <w:pStyle w:val="Compact"/>
              <w:jc w:val="left"/>
            </w:pPr>
            <w:r>
              <w:t xml:space="preserve">1,204,500,000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structured as follows:</w:t>
      </w:r>
    </w:p>
    <w:p>
      <w:pPr>
        <w:numPr>
          <w:ilvl w:val="0"/>
          <w:numId w:val="1002"/>
        </w:numPr>
        <w:pStyle w:val="Compact"/>
      </w:pPr>
      <w:r>
        <w:rPr>
          <w:bCs/>
          <w:b/>
        </w:rPr>
        <w:t xml:space="preserve">30% Advance Payment:</w:t>
      </w:r>
      <w:r>
        <w:t xml:space="preserve"> </w:t>
      </w:r>
      <w:r>
        <w:t xml:space="preserve">Due upon signed acceptance of this Quotation Estimate and execution of the service agreement. This amount covers the initial search and sourcing phase for the Human Resources Manager position.</w:t>
      </w:r>
    </w:p>
    <w:p>
      <w:pPr>
        <w:numPr>
          <w:ilvl w:val="0"/>
          <w:numId w:val="1002"/>
        </w:numPr>
        <w:pStyle w:val="Compact"/>
      </w:pPr>
      <w:r>
        <w:rPr>
          <w:bCs/>
          <w:b/>
        </w:rPr>
        <w:t xml:space="preserve">40% Milestone Payment:</w:t>
      </w:r>
      <w:r>
        <w:t xml:space="preserve"> </w:t>
      </w:r>
      <w:r>
        <w:t xml:space="preserve">Due upon successful placement and confirmed start date of the Human Resources Manager in the client's Tehran office.</w:t>
      </w:r>
    </w:p>
    <w:p>
      <w:pPr>
        <w:numPr>
          <w:ilvl w:val="0"/>
          <w:numId w:val="1002"/>
        </w:numPr>
        <w:pStyle w:val="Compact"/>
      </w:pPr>
      <w:r>
        <w:rPr>
          <w:bCs/>
          <w:b/>
        </w:rPr>
        <w:t xml:space="preserve">30% Final Payment:</w:t>
      </w:r>
      <w:r>
        <w:t xml:space="preserve"> </w:t>
      </w:r>
      <w:r>
        <w:t xml:space="preserve">Due upon completion of the twelve-month performance monitoring and advisory period, or in four equal quarterly installments aligned with each performance review cycle.</w:t>
      </w:r>
    </w:p>
    <w:p>
      <w:pPr>
        <w:pStyle w:val="FirstParagraph"/>
      </w:pPr>
      <w:r>
        <w:t xml:space="preserve">All payments shall be made via bank transfer to the firm's designated account in Iran Tehran. Late payments shall incur a penalty of 1.5% per month, in accordance with Iranian commercial law.</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pricing may be revised to reflect changes in the Iran Tehran labor market, inflation adjustments, or regulatory cost changes.</w:t>
      </w:r>
    </w:p>
    <w:p>
      <w:pPr>
        <w:numPr>
          <w:ilvl w:val="0"/>
          <w:numId w:val="1003"/>
        </w:numPr>
        <w:pStyle w:val="Compact"/>
      </w:pPr>
      <w:r>
        <w:t xml:space="preserve">The Human Resources Manager candidate placed under this engagement shall be subject to a ninety-day probationary period in accordance with the Iranian Labor Code. Should the candidate be terminated during probation for cause, the search fee (Item 01) shall be non-refundable, and a replacement candidate shall be sourced at no additional charge.</w:t>
      </w:r>
    </w:p>
    <w:p>
      <w:pPr>
        <w:numPr>
          <w:ilvl w:val="0"/>
          <w:numId w:val="1003"/>
        </w:numPr>
        <w:pStyle w:val="Compact"/>
      </w:pPr>
      <w:r>
        <w:t xml:space="preserve">All services shall be performed in compliance with the laws of the Islamic Republic of Iran, including but not limited to the Labor Code, Social Security Law, and applicable municipal regulations in Tehran.</w:t>
      </w:r>
    </w:p>
    <w:p>
      <w:pPr>
        <w:numPr>
          <w:ilvl w:val="0"/>
          <w:numId w:val="1003"/>
        </w:numPr>
        <w:pStyle w:val="Compact"/>
      </w:pPr>
      <w:r>
        <w:t xml:space="preserve">Confidentiality: All candidate data, client organizational information, and financial details contained in or arising from this Quotation Estimate shall be treated as strictly confidential and shall not be disclosed to third parties without written consent.</w:t>
      </w:r>
    </w:p>
    <w:p>
      <w:pPr>
        <w:numPr>
          <w:ilvl w:val="0"/>
          <w:numId w:val="1003"/>
        </w:numPr>
        <w:pStyle w:val="Compact"/>
      </w:pPr>
      <w:r>
        <w:t xml:space="preserve">Force Majeure: Neither party shall be liable for delays or non-performance resulting from events beyond reasonable control, including but not limited to natural disasters, government sanctions affecting Iran, or public health emergencies impacting operations in Tehran.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engagement of a Human Resources Manager in Iran Tehran. This document constitutes a binding proposal upon countersignature by both parties.</w:t>
      </w:r>
    </w:p>
    <w:p>
      <w:pPr>
        <w:pStyle w:val="BodyText"/>
      </w:pPr>
      <w:r>
        <w:rPr>
          <w:bCs/>
          <w:b/>
        </w:rPr>
        <w:t xml:space="preserve">Prepared By (Service Provider)</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Accepted By (Client)</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exclusively for the client identified herein and pertains to Human Resources Manager services in Iran Tehran. Unauthorized reproduction or distribution is prohibited. Document Reference: QTE-THR-2025-0472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Iran Tehran</dc:title>
  <dc:creator/>
  <dc:language>en</dc:language>
  <cp:keywords/>
  <dcterms:created xsi:type="dcterms:W3CDTF">2026-10-10T00:33:59Z</dcterms:created>
  <dcterms:modified xsi:type="dcterms:W3CDTF">2026-10-10T00:33:59Z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