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Human Resources Manager Engagement Services</w:t>
      </w:r>
    </w:p>
    <w:p>
      <w:pPr>
        <w:pStyle w:val="BodyText"/>
      </w:pPr>
      <w:r>
        <w:t xml:space="preserve">Prepared for use in Israel Tel Aviv</w:t>
      </w:r>
    </w:p>
    <w:bookmarkEnd w:id="20"/>
    <w:bookmarkStart w:id="21" w:name="quotation-details"/>
    <w:p>
      <w:pPr>
        <w:pStyle w:val="Heading2"/>
      </w:pPr>
      <w:r>
        <w:t xml:space="preserve">Quotation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QTE-TLV-2025-0487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issue date)</w:t>
            </w:r>
          </w:p>
        </w:tc>
      </w:tr>
      <w:tr>
        <w:tc>
          <w:tcPr/>
          <w:p>
            <w:pPr>
              <w:pStyle w:val="Compact"/>
              <w:jc w:val="left"/>
            </w:pPr>
            <w:r>
              <w:t xml:space="preserve">Currency:</w:t>
            </w:r>
          </w:p>
        </w:tc>
        <w:tc>
          <w:tcPr/>
          <w:p>
            <w:pPr>
              <w:pStyle w:val="Compact"/>
              <w:jc w:val="left"/>
            </w:pPr>
            <w:r>
              <w:t xml:space="preserve">Israeli New Shekel (ILS / ₪)</w:t>
            </w:r>
          </w:p>
        </w:tc>
      </w:tr>
      <w:tr>
        <w:tc>
          <w:tcPr/>
          <w:p>
            <w:pPr>
              <w:pStyle w:val="Compact"/>
              <w:jc w:val="left"/>
            </w:pPr>
            <w:r>
              <w:t xml:space="preserve">Location of Service:</w:t>
            </w:r>
          </w:p>
        </w:tc>
        <w:tc>
          <w:tcPr/>
          <w:p>
            <w:pPr>
              <w:pStyle w:val="Compact"/>
              <w:jc w:val="left"/>
            </w:pPr>
            <w:r>
              <w:t xml:space="preserve">Tel Aviv, Israel</w:t>
            </w:r>
          </w:p>
        </w:tc>
      </w:tr>
    </w:tbl>
    <w:bookmarkEnd w:id="21"/>
    <w:bookmarkStart w:id="22"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[Client Company Name], Ltd.</w:t>
            </w:r>
          </w:p>
        </w:tc>
      </w:tr>
      <w:tr>
        <w:tc>
          <w:tcPr/>
          <w:p>
            <w:pPr>
              <w:pStyle w:val="Compact"/>
              <w:jc w:val="left"/>
            </w:pPr>
            <w:r>
              <w:t xml:space="preserve">Address:</w:t>
            </w:r>
          </w:p>
        </w:tc>
        <w:tc>
          <w:tcPr/>
          <w:p>
            <w:pPr>
              <w:pStyle w:val="Compact"/>
              <w:jc w:val="left"/>
            </w:pPr>
            <w:r>
              <w:t xml:space="preserve">[Street Name], Tel Aviv, Israel</w:t>
            </w:r>
          </w:p>
        </w:tc>
      </w:tr>
      <w:tr>
        <w:tc>
          <w:tcPr/>
          <w:p>
            <w:pPr>
              <w:pStyle w:val="Compact"/>
              <w:jc w:val="left"/>
            </w:pPr>
            <w:r>
              <w:t xml:space="preserve">Contact Person:</w:t>
            </w:r>
          </w:p>
        </w:tc>
        <w:tc>
          <w:tcPr/>
          <w:p>
            <w:pPr>
              <w:pStyle w:val="Compact"/>
              <w:jc w:val="left"/>
            </w:pPr>
            <w:r>
              <w:t xml:space="preserve">[Name], Chief Executive Officer</w:t>
            </w:r>
          </w:p>
        </w:tc>
      </w:tr>
      <w:tr>
        <w:tc>
          <w:tcPr/>
          <w:p>
            <w:pPr>
              <w:pStyle w:val="Compact"/>
              <w:jc w:val="left"/>
            </w:pPr>
            <w:r>
              <w:t xml:space="preserve">Email:</w:t>
            </w:r>
          </w:p>
        </w:tc>
        <w:tc>
          <w:tcPr/>
          <w:p>
            <w:pPr>
              <w:pStyle w:val="Compact"/>
              <w:jc w:val="left"/>
            </w:pPr>
            <w:r>
              <w:t xml:space="preserve">[email@company.co.il]</w:t>
            </w:r>
          </w:p>
        </w:tc>
      </w:tr>
      <w:tr>
        <w:tc>
          <w:tcPr/>
          <w:p>
            <w:pPr>
              <w:pStyle w:val="Compact"/>
              <w:jc w:val="left"/>
            </w:pPr>
            <w:r>
              <w:t xml:space="preserve">Phone:</w:t>
            </w:r>
          </w:p>
        </w:tc>
        <w:tc>
          <w:tcPr/>
          <w:p>
            <w:pPr>
              <w:pStyle w:val="Compact"/>
              <w:jc w:val="left"/>
            </w:pPr>
            <w:r>
              <w:t xml:space="preserve">+972-3-XXX-XXXX</w:t>
            </w:r>
          </w:p>
        </w:tc>
      </w:tr>
    </w:tbl>
    <w:bookmarkEnd w:id="22"/>
    <w:bookmarkStart w:id="23" w:name="Xc90206a0f91c0f564be7ccaababd4eeb3368bd3"/>
    <w:p>
      <w:pPr>
        <w:pStyle w:val="Heading2"/>
      </w:pPr>
      <w:r>
        <w:t xml:space="preserve">Scope of Services – Human Resources Manager Engagement</w:t>
      </w:r>
    </w:p>
    <w:p>
      <w:pPr>
        <w:pStyle w:val="FirstParagraph"/>
      </w:pPr>
      <w:r>
        <w:t xml:space="preserve">This Quotation Estimate is issued by [Recruitment Agency Name], a licensed professional staffing and executive search firm operating in Israel Tel Aviv, to provide the client with a comprehensive engagement of a qualified Human Resources Manager. The Human Resources Manager will be responsible for overseeing all personnel-related functions within the client's organization, ensuring full compliance with Israeli labor law, the National Insurance Law, and all applicable regulations governing employment in the Tel Aviv metropolitan area.</w:t>
      </w:r>
    </w:p>
    <w:p>
      <w:pPr>
        <w:pStyle w:val="BodyText"/>
      </w:pPr>
      <w:r>
        <w:t xml:space="preserve">The Human Resources Manager engagement includes, but is not limited to, the following core responsibilities:</w:t>
      </w:r>
    </w:p>
    <w:p>
      <w:pPr>
        <w:numPr>
          <w:ilvl w:val="0"/>
          <w:numId w:val="1001"/>
        </w:numPr>
        <w:pStyle w:val="Compact"/>
      </w:pPr>
      <w:r>
        <w:t xml:space="preserve">Strategic workforce planning and organizational development tailored to the Israel Tel Aviv business environment.</w:t>
      </w:r>
    </w:p>
    <w:p>
      <w:pPr>
        <w:numPr>
          <w:ilvl w:val="0"/>
          <w:numId w:val="1001"/>
        </w:numPr>
        <w:pStyle w:val="Compact"/>
      </w:pPr>
      <w:r>
        <w:t xml:space="preserve">Recruitment, onboarding, and retention of talent in alignment with the client's growth objectives.</w:t>
      </w:r>
    </w:p>
    <w:p>
      <w:pPr>
        <w:numPr>
          <w:ilvl w:val="0"/>
          <w:numId w:val="1001"/>
        </w:numPr>
        <w:pStyle w:val="Compact"/>
      </w:pPr>
      <w:r>
        <w:t xml:space="preserve">Administration of employee compensation, benefits, and payroll in compliance with Israeli statutory requirements.</w:t>
      </w:r>
    </w:p>
    <w:p>
      <w:pPr>
        <w:numPr>
          <w:ilvl w:val="0"/>
          <w:numId w:val="1001"/>
        </w:numPr>
        <w:pStyle w:val="Compact"/>
      </w:pPr>
      <w:r>
        <w:t xml:space="preserve">Management of employee relations, conflict resolution, and disciplinary procedures.</w:t>
      </w:r>
    </w:p>
    <w:p>
      <w:pPr>
        <w:numPr>
          <w:ilvl w:val="0"/>
          <w:numId w:val="1001"/>
        </w:numPr>
        <w:pStyle w:val="Compact"/>
      </w:pPr>
      <w:r>
        <w:t xml:space="preserve">Development and implementation of performance management frameworks and training programs.</w:t>
      </w:r>
    </w:p>
    <w:p>
      <w:pPr>
        <w:numPr>
          <w:ilvl w:val="0"/>
          <w:numId w:val="1001"/>
        </w:numPr>
        <w:pStyle w:val="Compact"/>
      </w:pPr>
      <w:r>
        <w:t xml:space="preserve">Ensuring adherence to the Israeli Labor Law, Equal Remuneration Law, and Occupational Safety and Health regulations.</w:t>
      </w:r>
    </w:p>
    <w:p>
      <w:pPr>
        <w:numPr>
          <w:ilvl w:val="0"/>
          <w:numId w:val="1001"/>
        </w:numPr>
        <w:pStyle w:val="Compact"/>
      </w:pPr>
      <w:r>
        <w:t xml:space="preserve">Coordination with the Ministry of Welfare and Social Services and the National Insurance Institute (Bituach Leumi).</w:t>
      </w:r>
    </w:p>
    <w:p>
      <w:pPr>
        <w:numPr>
          <w:ilvl w:val="0"/>
          <w:numId w:val="1001"/>
        </w:numPr>
        <w:pStyle w:val="Compact"/>
      </w:pPr>
      <w:r>
        <w:t xml:space="preserve">Management of collective bargaining agreements and union relations where applicable.</w:t>
      </w:r>
    </w:p>
    <w:p>
      <w:pPr>
        <w:numPr>
          <w:ilvl w:val="0"/>
          <w:numId w:val="1001"/>
        </w:numPr>
        <w:pStyle w:val="Compact"/>
      </w:pPr>
      <w:r>
        <w:t xml:space="preserve">Preparation of annual HR reports, workforce analytics, and strategic recommendations for senior leadership.</w:t>
      </w:r>
    </w:p>
    <w:bookmarkEnd w:id="23"/>
    <w:bookmarkStart w:id="24" w:name="financial-breakdown-quotation-estimate"/>
    <w:p>
      <w:pPr>
        <w:pStyle w:val="Heading2"/>
      </w:pPr>
      <w:r>
        <w:t xml:space="preserve">Financial Breakdown – Quotation Estimate</w:t>
      </w:r>
    </w:p>
    <w:tbl>
      <w:tblPr>
        <w:tblStyle w:val="Table"/>
        <w:tblW w:type="auto" w:w="0"/>
        <w:tblLook w:firstRow="1" w:lastRow="1"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(ILS)</w:t>
            </w:r>
          </w:p>
        </w:tc>
      </w:tr>
      <w:tr>
        <w:tc>
          <w:tcPr/>
          <w:p>
            <w:pPr>
              <w:pStyle w:val="Compact"/>
              <w:jc w:val="left"/>
            </w:pPr>
            <w:r>
              <w:t xml:space="preserve">1</w:t>
            </w:r>
          </w:p>
        </w:tc>
        <w:tc>
          <w:tcPr/>
          <w:p>
            <w:pPr>
              <w:pStyle w:val="Compact"/>
              <w:jc w:val="left"/>
            </w:pPr>
            <w:r>
              <w:t xml:space="preserve">Executive Search &amp; Sourcing Fee for Human Resources Manager</w:t>
            </w:r>
          </w:p>
        </w:tc>
        <w:tc>
          <w:tcPr/>
          <w:p>
            <w:pPr>
              <w:pStyle w:val="Compact"/>
              <w:jc w:val="right"/>
            </w:pPr>
            <w:r>
              <w:t xml:space="preserve">₪ 45,000</w:t>
            </w:r>
          </w:p>
        </w:tc>
      </w:tr>
      <w:tr>
        <w:tc>
          <w:tcPr/>
          <w:p>
            <w:pPr>
              <w:pStyle w:val="Compact"/>
              <w:jc w:val="left"/>
            </w:pPr>
            <w:r>
              <w:t xml:space="preserve">2</w:t>
            </w:r>
          </w:p>
        </w:tc>
        <w:tc>
          <w:tcPr/>
          <w:p>
            <w:pPr>
              <w:pStyle w:val="Compact"/>
              <w:jc w:val="left"/>
            </w:pPr>
            <w:r>
              <w:t xml:space="preserve">Assessment, Interview Coordination &amp; Background Verification</w:t>
            </w:r>
          </w:p>
        </w:tc>
        <w:tc>
          <w:tcPr/>
          <w:p>
            <w:pPr>
              <w:pStyle w:val="Compact"/>
              <w:jc w:val="right"/>
            </w:pPr>
            <w:r>
              <w:t xml:space="preserve">₪ 12,500</w:t>
            </w:r>
          </w:p>
        </w:tc>
      </w:tr>
      <w:tr>
        <w:tc>
          <w:tcPr/>
          <w:p>
            <w:pPr>
              <w:pStyle w:val="Compact"/>
              <w:jc w:val="left"/>
            </w:pPr>
            <w:r>
              <w:t xml:space="preserve">3</w:t>
            </w:r>
          </w:p>
        </w:tc>
        <w:tc>
          <w:tcPr/>
          <w:p>
            <w:pPr>
              <w:pStyle w:val="Compact"/>
              <w:jc w:val="left"/>
            </w:pPr>
            <w:r>
              <w:t xml:space="preserve">Contract Drafting &amp; Legal Compliance Review (Israel Tel Aviv jurisdiction)</w:t>
            </w:r>
          </w:p>
        </w:tc>
        <w:tc>
          <w:tcPr/>
          <w:p>
            <w:pPr>
              <w:pStyle w:val="Compact"/>
              <w:jc w:val="right"/>
            </w:pPr>
            <w:r>
              <w:t xml:space="preserve">₪ 8,000</w:t>
            </w:r>
          </w:p>
        </w:tc>
      </w:tr>
      <w:tr>
        <w:tc>
          <w:tcPr/>
          <w:p>
            <w:pPr>
              <w:pStyle w:val="Compact"/>
              <w:jc w:val="left"/>
            </w:pPr>
            <w:r>
              <w:t xml:space="preserve">4</w:t>
            </w:r>
          </w:p>
        </w:tc>
        <w:tc>
          <w:tcPr/>
          <w:p>
            <w:pPr>
              <w:pStyle w:val="Compact"/>
              <w:jc w:val="left"/>
            </w:pPr>
            <w:r>
              <w:t xml:space="preserve">Onboarding &amp; Integration Support (First 90 Days)</w:t>
            </w:r>
          </w:p>
        </w:tc>
        <w:tc>
          <w:tcPr/>
          <w:p>
            <w:pPr>
              <w:pStyle w:val="Compact"/>
              <w:jc w:val="right"/>
            </w:pPr>
            <w:r>
              <w:t xml:space="preserve">₪ 15,000</w:t>
            </w:r>
          </w:p>
        </w:tc>
      </w:tr>
      <w:tr>
        <w:tc>
          <w:tcPr/>
          <w:p>
            <w:pPr>
              <w:pStyle w:val="Compact"/>
              <w:jc w:val="left"/>
            </w:pPr>
            <w:r>
              <w:t xml:space="preserve">5</w:t>
            </w:r>
          </w:p>
        </w:tc>
        <w:tc>
          <w:tcPr/>
          <w:p>
            <w:pPr>
              <w:pStyle w:val="Compact"/>
              <w:jc w:val="left"/>
            </w:pPr>
            <w:r>
              <w:t xml:space="preserve">Ongoing Advisory &amp; HR Strategy Consultation (12 months)</w:t>
            </w:r>
          </w:p>
        </w:tc>
        <w:tc>
          <w:tcPr/>
          <w:p>
            <w:pPr>
              <w:pStyle w:val="Compact"/>
              <w:jc w:val="right"/>
            </w:pPr>
            <w:r>
              <w:t xml:space="preserve">₪ 36,000</w:t>
            </w:r>
          </w:p>
        </w:tc>
      </w:tr>
      <w:tr>
        <w:tc>
          <w:tcPr/>
          <w:p>
            <w:pPr>
              <w:pStyle w:val="Compact"/>
              <w:jc w:val="left"/>
            </w:pPr>
            <w:r>
              <w:t xml:space="preserve">6</w:t>
            </w:r>
          </w:p>
        </w:tc>
        <w:tc>
          <w:tcPr/>
          <w:p>
            <w:pPr>
              <w:pStyle w:val="Compact"/>
              <w:jc w:val="left"/>
            </w:pPr>
            <w:r>
              <w:t xml:space="preserve">Compliance Audit &amp; Regulatory Reporting (Annual)</w:t>
            </w:r>
          </w:p>
        </w:tc>
        <w:tc>
          <w:tcPr/>
          <w:p>
            <w:pPr>
              <w:pStyle w:val="Compact"/>
              <w:jc w:val="right"/>
            </w:pPr>
            <w:r>
              <w:t xml:space="preserve">₪ 7,500</w:t>
            </w:r>
          </w:p>
        </w:tc>
      </w:tr>
      <w:tr>
        <w:tc>
          <w:tcPr/>
          <w:p>
            <w:pPr>
              <w:pStyle w:val="Compact"/>
              <w:jc w:val="left"/>
            </w:pPr>
            <w:r>
              <w:t xml:space="preserve">7</w:t>
            </w:r>
          </w:p>
        </w:tc>
        <w:tc>
          <w:tcPr/>
          <w:p>
            <w:pPr>
              <w:pStyle w:val="Compact"/>
              <w:jc w:val="left"/>
            </w:pPr>
            <w:r>
              <w:t xml:space="preserve">VAT (18%)</w:t>
            </w:r>
          </w:p>
        </w:tc>
        <w:tc>
          <w:tcPr/>
          <w:p>
            <w:pPr>
              <w:pStyle w:val="Compact"/>
              <w:jc w:val="right"/>
            </w:pPr>
            <w:r>
              <w:t xml:space="preserve">₪ 21,870</w:t>
            </w:r>
          </w:p>
        </w:tc>
      </w:tr>
      <w:tr>
        <w:tc>
          <w:tcPr>
            <w:gridSpan w:val="2"/>
          </w:tcPr>
          <w:p>
            <w:pPr>
              <w:pStyle w:val="Compact"/>
              <w:jc w:val="left"/>
            </w:pPr>
            <w:r>
              <w:t xml:space="preserve">TOTAL QUOTATION ESTIMATE AMOUNT</w:t>
            </w:r>
          </w:p>
        </w:tc>
        <w:tc>
          <w:tcPr/>
          <w:p>
            <w:pPr>
              <w:pStyle w:val="Compact"/>
              <w:jc w:val="right"/>
            </w:pPr>
            <w:r>
              <w:t xml:space="preserve">₪ 145,870</w:t>
            </w:r>
          </w:p>
        </w:tc>
      </w:tr>
    </w:tbl>
    <w:p>
      <w:pPr>
        <w:pStyle w:val="BodyText"/>
      </w:pPr>
      <w:r>
        <w:t xml:space="preserve">* All amounts are quoted in Israeli New Shekels (ILS). This Quotation Estimate does not include the Human Resources Manager's base salary, which will be negotiated separately between the client and the candidate.</w:t>
      </w:r>
    </w:p>
    <w:bookmarkEnd w:id="24"/>
    <w:bookmarkStart w:id="25" w:name="payment-terms"/>
    <w:p>
      <w:pPr>
        <w:pStyle w:val="Heading2"/>
      </w:pPr>
      <w:r>
        <w:t xml:space="preserve">Payment Terms</w:t>
      </w:r>
    </w:p>
    <w:p>
      <w:pPr>
        <w:numPr>
          <w:ilvl w:val="0"/>
          <w:numId w:val="1002"/>
        </w:numPr>
        <w:pStyle w:val="Compact"/>
      </w:pPr>
      <w:r>
        <w:t xml:space="preserve">40% of the total Quotation Estimate amount is due upon signing of the service agreement.</w:t>
      </w:r>
    </w:p>
    <w:p>
      <w:pPr>
        <w:numPr>
          <w:ilvl w:val="0"/>
          <w:numId w:val="1002"/>
        </w:numPr>
        <w:pStyle w:val="Compact"/>
      </w:pPr>
      <w:r>
        <w:t xml:space="preserve">35% is due upon successful placement and commencement of the Human Resources Manager role.</w:t>
      </w:r>
    </w:p>
    <w:p>
      <w:pPr>
        <w:numPr>
          <w:ilvl w:val="0"/>
          <w:numId w:val="1002"/>
        </w:numPr>
        <w:pStyle w:val="Compact"/>
      </w:pPr>
      <w:r>
        <w:t xml:space="preserve">25% is due upon completion of the 90-day onboarding period.</w:t>
      </w:r>
    </w:p>
    <w:p>
      <w:pPr>
        <w:numPr>
          <w:ilvl w:val="0"/>
          <w:numId w:val="1002"/>
        </w:numPr>
        <w:pStyle w:val="Compact"/>
      </w:pPr>
      <w:r>
        <w:t xml:space="preserve">Payment shall be made via bank transfer to the agency's account in Israel Tel Aviv within 14 business days of invoice issuance.</w:t>
      </w:r>
    </w:p>
    <w:p>
      <w:pPr>
        <w:numPr>
          <w:ilvl w:val="0"/>
          <w:numId w:val="1002"/>
        </w:numPr>
        <w:pStyle w:val="Compact"/>
      </w:pPr>
      <w:r>
        <w:t xml:space="preserve">Late payments shall incur a monthly interest charge of 1.5% in accordance with Israeli commercial law.</w:t>
      </w:r>
    </w:p>
    <w:bookmarkEnd w:id="25"/>
    <w:bookmarkStart w:id="26" w:name="terms-and-conditions"/>
    <w:p>
      <w:pPr>
        <w:pStyle w:val="Heading2"/>
      </w:pPr>
      <w:r>
        <w:t xml:space="preserve">Terms and Conditions</w:t>
      </w:r>
    </w:p>
    <w:p>
      <w:pPr>
        <w:numPr>
          <w:ilvl w:val="0"/>
          <w:numId w:val="1003"/>
        </w:numPr>
        <w:pStyle w:val="Compact"/>
      </w:pPr>
      <w:r>
        <w:t xml:space="preserve">This Quotation Estimate is valid for thirty (30) calendar days from the date of issue. After this period, pricing may be subject to revision.</w:t>
      </w:r>
    </w:p>
    <w:p>
      <w:pPr>
        <w:numPr>
          <w:ilvl w:val="0"/>
          <w:numId w:val="1003"/>
        </w:numPr>
        <w:pStyle w:val="Compact"/>
      </w:pPr>
      <w:r>
        <w:t xml:space="preserve">The Human Resources Manager candidate must possess a minimum of seven (7) years of progressive HR experience, with at least three (3) years in a senior management capacity within the Israel Tel Aviv corporate sector.</w:t>
      </w:r>
    </w:p>
    <w:p>
      <w:pPr>
        <w:numPr>
          <w:ilvl w:val="0"/>
          <w:numId w:val="1003"/>
        </w:numPr>
        <w:pStyle w:val="Compact"/>
      </w:pPr>
      <w:r>
        <w:t xml:space="preserve">The agency guarantees a replacement period of ninety (90) days should the Human Resources Manager resign or be terminated for cause within the initial engagement period.</w:t>
      </w:r>
    </w:p>
    <w:p>
      <w:pPr>
        <w:numPr>
          <w:ilvl w:val="0"/>
          <w:numId w:val="1003"/>
        </w:numPr>
        <w:pStyle w:val="Compact"/>
      </w:pPr>
      <w:r>
        <w:t xml:space="preserve">All services shall be performed in full compliance with the laws of the State of Israel, including but not limited to the Labor Law, 5719-1958, and the Privacy Protection Law, 5741-1981.</w:t>
      </w:r>
    </w:p>
    <w:p>
      <w:pPr>
        <w:numPr>
          <w:ilvl w:val="0"/>
          <w:numId w:val="1003"/>
        </w:numPr>
        <w:pStyle w:val="Compact"/>
      </w:pPr>
      <w:r>
        <w:t xml:space="preserve">Confidentiality obligations shall survive the termination of this engagement for a period of two (2) years.</w:t>
      </w:r>
    </w:p>
    <w:p>
      <w:pPr>
        <w:numPr>
          <w:ilvl w:val="0"/>
          <w:numId w:val="1003"/>
        </w:numPr>
        <w:pStyle w:val="Compact"/>
      </w:pPr>
      <w:r>
        <w:t xml:space="preserve">Disputes arising from this Quotation Estimate shall be resolved under the jurisdiction of the competent courts in Tel Aviv, Israel.</w:t>
      </w:r>
    </w:p>
    <w:p>
      <w:pPr>
        <w:numPr>
          <w:ilvl w:val="0"/>
          <w:numId w:val="1003"/>
        </w:numPr>
        <w:pStyle w:val="Compact"/>
      </w:pPr>
      <w:r>
        <w:t xml:space="preserve">This Quotation Estimate does not constitute a binding contract until both parties have executed a formal Service Agreement.</w:t>
      </w:r>
    </w:p>
    <w:bookmarkEnd w:id="26"/>
    <w:bookmarkStart w:id="27" w:name="acceptance"/>
    <w:p>
      <w:pPr>
        <w:pStyle w:val="Heading2"/>
      </w:pPr>
      <w:r>
        <w:t xml:space="preserve">Acceptance</w:t>
      </w:r>
    </w:p>
    <w:p>
      <w:pPr>
        <w:pStyle w:val="FirstParagraph"/>
      </w:pPr>
      <w:r>
        <w:t xml:space="preserve">By signing below, the client acknowledges and accepts this Quotation Estimate for the engagement of a Human Resources Manager in Israel Tel Aviv. The client confirms that all terms, conditions, and financial obligations outlined herein have been reviewed and understood.</w:t>
      </w:r>
    </w:p>
    <w:tbl>
      <w:tblPr>
        <w:tblStyle w:val="Table"/>
        <w:tblW w:type="pct" w:w="5000"/>
        <w:tblLook w:firstRow="0" w:lastRow="0" w:firstColumn="0" w:lastColumn="0" w:noHBand="0" w:noVBand="0" w:val="0000"/>
      </w:tblPr>
      <w:tblGrid>
        <w:gridCol w:w="3960"/>
        <w:gridCol w:w="3960"/>
      </w:tblGrid>
      <w:tr>
        <w:tc>
          <w:tcPr/>
          <w:p>
            <w:pPr>
              <w:jc w:val="left"/>
            </w:pPr>
            <w:r>
              <w:t xml:space="preserve">For the Client:</w:t>
            </w:r>
          </w:p>
          <w:p>
            <w:pPr>
              <w:jc w:val="left"/>
            </w:pPr>
            <w:r>
              <w:t xml:space="preserve">Name &amp; Signature</w:t>
            </w:r>
          </w:p>
          <w:p>
            <w:pPr>
              <w:jc w:val="left"/>
            </w:pPr>
            <w:r>
              <w:t xml:space="preserve">Date</w:t>
            </w:r>
          </w:p>
          <w:p>
            <w:pPr>
              <w:jc w:val="left"/>
            </w:pPr>
            <w:r>
              <w:t xml:space="preserve">Company Stamp</w:t>
            </w:r>
          </w:p>
        </w:tc>
        <w:tc>
          <w:tcPr/>
          <w:p>
            <w:pPr>
              <w:jc w:val="left"/>
            </w:pPr>
            <w:r>
              <w:t xml:space="preserve">For the Agency:</w:t>
            </w:r>
          </w:p>
          <w:p>
            <w:pPr>
              <w:jc w:val="left"/>
            </w:pPr>
            <w:r>
              <w:t xml:space="preserve">Name &amp; Signature</w:t>
            </w:r>
          </w:p>
          <w:p>
            <w:pPr>
              <w:jc w:val="left"/>
            </w:pPr>
            <w:r>
              <w:t xml:space="preserve">Date</w:t>
            </w:r>
          </w:p>
          <w:p>
            <w:pPr>
              <w:jc w:val="left"/>
            </w:pPr>
            <w:r>
              <w:t xml:space="preserve">Company Stamp</w:t>
            </w:r>
          </w:p>
        </w:tc>
      </w:tr>
    </w:tbl>
    <w:bookmarkEnd w:id="27"/>
    <w:p>
      <w:pPr>
        <w:pStyle w:val="BodyText"/>
      </w:pPr>
      <w:r>
        <w:t xml:space="preserve">This Quotation Estimate was prepared by [Agency Name], a registered professional services firm in Israel Tel Aviv. License No. [XXXXX]. All rights reserved. © 2025.</w:t>
      </w:r>
    </w:p>
    <w:p>
      <w:pPr>
        <w:pStyle w:val="BodyText"/>
      </w:pPr>
      <w:r>
        <w:t xml:space="preserve">Document Reference: QTE-TLV-2025-0487 | Human Resources Manager Engagement |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Israel Tel Aviv</dc:title>
  <dc:creator/>
  <dc:language>en</dc:language>
  <cp:keywords/>
  <dcterms:created xsi:type="dcterms:W3CDTF">2026-10-10T04:08:26Z</dcterms:created>
  <dcterms:modified xsi:type="dcterms:W3CDTF">2026-10-10T04:08:26Z</dcterms:modified>
</cp:coreProperties>
</file>

<file path=docProps/custom.xml><?xml version="1.0" encoding="utf-8"?>
<Properties xmlns="http://schemas.openxmlformats.org/officeDocument/2006/custom-properties" xmlns:vt="http://schemas.openxmlformats.org/officeDocument/2006/docPropsVTypes"/>
</file>