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Mexico, Mexico City — Official Business Document</w:t>
      </w:r>
    </w:p>
    <w:p>
      <w:pPr>
        <w:pStyle w:val="BodyText"/>
      </w:pPr>
      <w:r>
        <w:t xml:space="preserve">REF: QTE-MXCD-HRM-2025-0472</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Mexican Pesos (MXN)</w:t>
      </w:r>
    </w:p>
    <w:p>
      <w:pPr>
        <w:pStyle w:val="BodyText"/>
      </w:pPr>
      <w:r>
        <w:rPr>
          <w:bCs/>
          <w:b/>
        </w:rPr>
        <w:t xml:space="preserve">Prepared By:</w:t>
      </w:r>
      <w:r>
        <w:t xml:space="preserve"> </w:t>
      </w:r>
      <w:r>
        <w:t xml:space="preserve">Talento Corporativo MX, S.A. de C.V.</w:t>
      </w:r>
      <w:r>
        <w:br/>
      </w:r>
      <w:r>
        <w:rPr>
          <w:bCs/>
          <w:b/>
        </w:rPr>
        <w:t xml:space="preserve">Address:</w:t>
      </w:r>
      <w:r>
        <w:t xml:space="preserve"> </w:t>
      </w:r>
      <w:r>
        <w:t xml:space="preserve">Av. Paseo de la Reforma 505, Piso 12,</w:t>
      </w:r>
      <w:r>
        <w:br/>
      </w:r>
      <w:r>
        <w:t xml:space="preserve">Col. Cuauhtémoc, 06600 Mexico City, Mexico</w:t>
      </w:r>
      <w:r>
        <w:br/>
      </w:r>
      <w:r>
        <w:rPr>
          <w:bCs/>
          <w:b/>
        </w:rPr>
        <w:t xml:space="preserve">Contact:</w:t>
      </w:r>
      <w:r>
        <w:t xml:space="preserve"> </w:t>
      </w:r>
      <w:r>
        <w:t xml:space="preserve">+52 (55) 5512-3456 | quotes@talentocorp.mx</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Talento Corporativo MX, S.A. de C.V. to provide a comprehensive and itemized financial projection for the recruitment, onboarding, and first-year employment of a</w:t>
      </w:r>
      <w:r>
        <w:t xml:space="preserve"> </w:t>
      </w:r>
      <w:r>
        <w:t xml:space="preserve">Human Resources Manager</w:t>
      </w:r>
      <w:r>
        <w:t xml:space="preserve"> </w:t>
      </w:r>
      <w:r>
        <w:t xml:space="preserve">within the operational boundaries of</w:t>
      </w:r>
      <w:r>
        <w:t xml:space="preserve"> </w:t>
      </w:r>
      <w:r>
        <w:t xml:space="preserve">Mexico, Mexico City</w:t>
      </w:r>
      <w:r>
        <w:t xml:space="preserve">. This document serves as a binding financial reference for the client organization and outlines all anticipated costs, statutory obligations, and professional service fees associated with securing a qualified Human Resources Manager for the client's Mexico City headquarters or regional office.</w:t>
      </w:r>
    </w:p>
    <w:bookmarkEnd w:id="21"/>
    <w:bookmarkStart w:id="22" w:name="Xf2983befc1259c43ce34e1a75cab0aea1b50005"/>
    <w:p>
      <w:pPr>
        <w:pStyle w:val="Heading2"/>
      </w:pPr>
      <w:r>
        <w:t xml:space="preserve">2. Scope of Services — Human Resources Manager Position</w:t>
      </w:r>
    </w:p>
    <w:p>
      <w:pPr>
        <w:pStyle w:val="FirstParagraph"/>
      </w:pPr>
      <w:r>
        <w:t xml:space="preserve">The</w:t>
      </w:r>
      <w:r>
        <w:t xml:space="preserve"> </w:t>
      </w:r>
      <w:r>
        <w:t xml:space="preserve">Human Resources Manager</w:t>
      </w:r>
      <w:r>
        <w:t xml:space="preserve"> </w:t>
      </w:r>
      <w:r>
        <w:t xml:space="preserve">position covered under this Quotation Estimate encompasses the full spectrum of human capital management responsibilities as defined by Mexican labor law (Ley Federal del Trabajo) and applicable regulations in Mexico City. The scope includes but is not limited to: strategic workforce planning, employee relations management, compensation and benefits administration, compliance with the Instituto Mexicano del Seguro Social (IMSS), performance evaluation systems, labor contract management, organizational development, and leadership of the HR department. The Human Resources Manager will report directly to the General Director or CEO of the client organization and will be based in Mexico City, Mexico.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(MXN)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Base Salary — Human Resources Manager</w:t>
            </w:r>
          </w:p>
        </w:tc>
        <w:tc>
          <w:tcPr/>
          <w:p>
            <w:pPr>
              <w:pStyle w:val="Compact"/>
              <w:jc w:val="left"/>
            </w:pPr>
            <w:r>
              <w:t xml:space="preserve">Monthly</w:t>
            </w:r>
          </w:p>
        </w:tc>
        <w:tc>
          <w:tcPr/>
          <w:p>
            <w:pPr>
              <w:pStyle w:val="Compact"/>
              <w:jc w:val="left"/>
            </w:pPr>
            <w:r>
              <w:t xml:space="preserve">$48,500.00</w:t>
            </w:r>
          </w:p>
        </w:tc>
        <w:tc>
          <w:tcPr/>
          <w:p>
            <w:pPr>
              <w:pStyle w:val="Compact"/>
              <w:jc w:val="left"/>
            </w:pPr>
            <w:r>
              <w:t xml:space="preserve">Before deductions</w:t>
            </w:r>
          </w:p>
        </w:tc>
      </w:tr>
      <w:tr>
        <w:tc>
          <w:tcPr/>
          <w:p>
            <w:pPr>
              <w:pStyle w:val="Compact"/>
              <w:jc w:val="left"/>
            </w:pPr>
            <w:r>
              <w:t xml:space="preserve">2</w:t>
            </w:r>
          </w:p>
        </w:tc>
        <w:tc>
          <w:tcPr/>
          <w:p>
            <w:pPr>
              <w:pStyle w:val="Compact"/>
              <w:jc w:val="left"/>
            </w:pPr>
            <w:r>
              <w:t xml:space="preserve">IMSS Employer Contributions (Social Security)</w:t>
            </w:r>
          </w:p>
        </w:tc>
        <w:tc>
          <w:tcPr/>
          <w:p>
            <w:pPr>
              <w:pStyle w:val="Compact"/>
              <w:jc w:val="left"/>
            </w:pPr>
            <w:r>
              <w:t xml:space="preserve">Monthly</w:t>
            </w:r>
          </w:p>
        </w:tc>
        <w:tc>
          <w:tcPr/>
          <w:p>
            <w:pPr>
              <w:pStyle w:val="Compact"/>
              <w:jc w:val="left"/>
            </w:pPr>
            <w:r>
              <w:t xml:space="preserve">$11,234.00</w:t>
            </w:r>
          </w:p>
        </w:tc>
        <w:tc>
          <w:tcPr/>
          <w:p>
            <w:pPr>
              <w:pStyle w:val="Compact"/>
              <w:jc w:val="left"/>
            </w:pPr>
            <w:r>
              <w:t xml:space="preserve">~23.16% of salary</w:t>
            </w:r>
          </w:p>
        </w:tc>
      </w:tr>
      <w:tr>
        <w:tc>
          <w:tcPr/>
          <w:p>
            <w:pPr>
              <w:pStyle w:val="Compact"/>
              <w:jc w:val="left"/>
            </w:pPr>
            <w:r>
              <w:t xml:space="preserve">3</w:t>
            </w:r>
          </w:p>
        </w:tc>
        <w:tc>
          <w:tcPr/>
          <w:p>
            <w:pPr>
              <w:pStyle w:val="Compact"/>
              <w:jc w:val="left"/>
            </w:pPr>
            <w:r>
              <w:t xml:space="preserve">IMSS Employee Contributions (withheld)</w:t>
            </w:r>
          </w:p>
        </w:tc>
        <w:tc>
          <w:tcPr/>
          <w:p>
            <w:pPr>
              <w:pStyle w:val="Compact"/>
              <w:jc w:val="left"/>
            </w:pPr>
            <w:r>
              <w:t xml:space="preserve">Monthly</w:t>
            </w:r>
          </w:p>
        </w:tc>
        <w:tc>
          <w:tcPr/>
          <w:p>
            <w:pPr>
              <w:pStyle w:val="Compact"/>
              <w:jc w:val="left"/>
            </w:pPr>
            <w:r>
              <w:t xml:space="preserve">$2,870.00</w:t>
            </w:r>
          </w:p>
        </w:tc>
        <w:tc>
          <w:tcPr/>
          <w:p>
            <w:pPr>
              <w:pStyle w:val="Compact"/>
              <w:jc w:val="left"/>
            </w:pPr>
            <w:r>
              <w:t xml:space="preserve">~5.92% of salary</w:t>
            </w:r>
          </w:p>
        </w:tc>
      </w:tr>
      <w:tr>
        <w:tc>
          <w:tcPr/>
          <w:p>
            <w:pPr>
              <w:pStyle w:val="Compact"/>
              <w:jc w:val="left"/>
            </w:pPr>
            <w:r>
              <w:t xml:space="preserve">4</w:t>
            </w:r>
          </w:p>
        </w:tc>
        <w:tc>
          <w:tcPr/>
          <w:p>
            <w:pPr>
              <w:pStyle w:val="Compact"/>
              <w:jc w:val="left"/>
            </w:pPr>
            <w:r>
              <w:t xml:space="preserve">Agosto Aguinaldo (15-day bonus)</w:t>
            </w:r>
          </w:p>
        </w:tc>
        <w:tc>
          <w:tcPr/>
          <w:p>
            <w:pPr>
              <w:pStyle w:val="Compact"/>
              <w:jc w:val="left"/>
            </w:pPr>
            <w:r>
              <w:t xml:space="preserve">Annual</w:t>
            </w:r>
          </w:p>
        </w:tc>
        <w:tc>
          <w:tcPr/>
          <w:p>
            <w:pPr>
              <w:pStyle w:val="Compact"/>
              <w:jc w:val="left"/>
            </w:pPr>
            <w:r>
              <w:t xml:space="preserve">$24,250.00</w:t>
            </w:r>
          </w:p>
        </w:tc>
        <w:tc>
          <w:tcPr/>
          <w:p>
            <w:pPr>
              <w:pStyle w:val="Compact"/>
              <w:jc w:val="left"/>
            </w:pPr>
            <w:r>
              <w:t xml:space="preserve">Statutory requirement</w:t>
            </w:r>
          </w:p>
        </w:tc>
      </w:tr>
      <w:tr>
        <w:tc>
          <w:tcPr/>
          <w:p>
            <w:pPr>
              <w:pStyle w:val="Compact"/>
              <w:jc w:val="left"/>
            </w:pPr>
            <w:r>
              <w:t xml:space="preserve">5</w:t>
            </w:r>
          </w:p>
        </w:tc>
        <w:tc>
          <w:tcPr/>
          <w:p>
            <w:pPr>
              <w:pStyle w:val="Compact"/>
              <w:jc w:val="left"/>
            </w:pPr>
            <w:r>
              <w:t xml:space="preserve">Prima Vacacional (Vacation Premium)</w:t>
            </w:r>
          </w:p>
        </w:tc>
        <w:tc>
          <w:tcPr/>
          <w:p>
            <w:pPr>
              <w:pStyle w:val="Compact"/>
              <w:jc w:val="left"/>
            </w:pPr>
            <w:r>
              <w:t xml:space="preserve">Annual</w:t>
            </w:r>
          </w:p>
        </w:tc>
        <w:tc>
          <w:tcPr/>
          <w:p>
            <w:pPr>
              <w:pStyle w:val="Compact"/>
              <w:jc w:val="left"/>
            </w:pPr>
            <w:r>
              <w:t xml:space="preserve">$3,880.00</w:t>
            </w:r>
          </w:p>
        </w:tc>
        <w:tc>
          <w:tcPr/>
          <w:p>
            <w:pPr>
              <w:pStyle w:val="Compact"/>
              <w:jc w:val="left"/>
            </w:pPr>
            <w:r>
              <w:t xml:space="preserve">25% premium on vacation pay</w:t>
            </w:r>
          </w:p>
        </w:tc>
      </w:tr>
      <w:tr>
        <w:tc>
          <w:tcPr/>
          <w:p>
            <w:pPr>
              <w:pStyle w:val="Compact"/>
              <w:jc w:val="left"/>
            </w:pPr>
            <w:r>
              <w:t xml:space="preserve">6</w:t>
            </w:r>
          </w:p>
        </w:tc>
        <w:tc>
          <w:tcPr/>
          <w:p>
            <w:pPr>
              <w:pStyle w:val="Compact"/>
              <w:jc w:val="left"/>
            </w:pPr>
            <w:r>
              <w:t xml:space="preserve">Annual Vacation Pay (12 days, Year 1)</w:t>
            </w:r>
          </w:p>
        </w:tc>
        <w:tc>
          <w:tcPr/>
          <w:p>
            <w:pPr>
              <w:pStyle w:val="Compact"/>
              <w:jc w:val="left"/>
            </w:pPr>
            <w:r>
              <w:t xml:space="preserve">Annual</w:t>
            </w:r>
          </w:p>
        </w:tc>
        <w:tc>
          <w:tcPr/>
          <w:p>
            <w:pPr>
              <w:pStyle w:val="Compact"/>
              <w:jc w:val="left"/>
            </w:pPr>
            <w:r>
              <w:t xml:space="preserve">$19,400.00</w:t>
            </w:r>
          </w:p>
        </w:tc>
        <w:tc>
          <w:tcPr/>
          <w:p>
            <w:pPr>
              <w:pStyle w:val="Compact"/>
              <w:jc w:val="left"/>
            </w:pPr>
            <w:r>
              <w:t xml:space="preserve">Per LFT Article 76</w:t>
            </w:r>
          </w:p>
        </w:tc>
      </w:tr>
      <w:tr>
        <w:tc>
          <w:tcPr/>
          <w:p>
            <w:pPr>
              <w:pStyle w:val="Compact"/>
              <w:jc w:val="left"/>
            </w:pPr>
            <w:r>
              <w:t xml:space="preserve">7</w:t>
            </w:r>
          </w:p>
        </w:tc>
        <w:tc>
          <w:tcPr/>
          <w:p>
            <w:pPr>
              <w:pStyle w:val="Compact"/>
              <w:jc w:val="left"/>
            </w:pPr>
            <w:r>
              <w:t xml:space="preserve">Recruitment &amp; Sourcing Fee (One-time)</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Includes screening &amp; interviews</w:t>
            </w:r>
          </w:p>
        </w:tc>
      </w:tr>
      <w:tr>
        <w:tc>
          <w:tcPr/>
          <w:p>
            <w:pPr>
              <w:pStyle w:val="Compact"/>
              <w:jc w:val="left"/>
            </w:pPr>
            <w:r>
              <w:t xml:space="preserve">8</w:t>
            </w:r>
          </w:p>
        </w:tc>
        <w:tc>
          <w:tcPr/>
          <w:p>
            <w:pPr>
              <w:pStyle w:val="Compact"/>
              <w:jc w:val="left"/>
            </w:pPr>
            <w:r>
              <w:t xml:space="preserve">Onboarding &amp; Integration Program</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30-day structured onboarding</w:t>
            </w:r>
          </w:p>
        </w:tc>
      </w:tr>
      <w:tr>
        <w:tc>
          <w:tcPr/>
          <w:p>
            <w:pPr>
              <w:pStyle w:val="Compact"/>
              <w:jc w:val="left"/>
            </w:pPr>
            <w:r>
              <w:t xml:space="preserve">9</w:t>
            </w:r>
          </w:p>
        </w:tc>
        <w:tc>
          <w:tcPr/>
          <w:p>
            <w:pPr>
              <w:pStyle w:val="Compact"/>
              <w:jc w:val="left"/>
            </w:pPr>
            <w:r>
              <w:t xml:space="preserve">Legal Compliance &amp; Contract Drafting</w:t>
            </w:r>
          </w:p>
        </w:tc>
        <w:tc>
          <w:tcPr/>
          <w:p>
            <w:pPr>
              <w:pStyle w:val="Compact"/>
              <w:jc w:val="left"/>
            </w:pPr>
            <w:r>
              <w:t xml:space="preserve">One-time</w:t>
            </w:r>
          </w:p>
        </w:tc>
        <w:tc>
          <w:tcPr/>
          <w:p>
            <w:pPr>
              <w:pStyle w:val="Compact"/>
              <w:jc w:val="left"/>
            </w:pPr>
            <w:r>
              <w:t xml:space="preserve">$8,000.00</w:t>
            </w:r>
          </w:p>
        </w:tc>
        <w:tc>
          <w:tcPr/>
          <w:p>
            <w:pPr>
              <w:pStyle w:val="Compact"/>
              <w:jc w:val="left"/>
            </w:pPr>
            <w:r>
              <w:t xml:space="preserve">Labor contract, NOM compliance</w:t>
            </w:r>
          </w:p>
        </w:tc>
      </w:tr>
      <w:tr>
        <w:tc>
          <w:tcPr/>
          <w:p>
            <w:pPr>
              <w:pStyle w:val="Compact"/>
              <w:jc w:val="left"/>
            </w:pPr>
            <w:r>
              <w:t xml:space="preserve">10</w:t>
            </w:r>
          </w:p>
        </w:tc>
        <w:tc>
          <w:tcPr/>
          <w:p>
            <w:pPr>
              <w:pStyle w:val="Compact"/>
              <w:jc w:val="left"/>
            </w:pPr>
            <w:r>
              <w:t xml:space="preserve">Annual HR Consulting &amp; Advisory (Mexico City)</w:t>
            </w:r>
          </w:p>
        </w:tc>
        <w:tc>
          <w:tcPr/>
          <w:p>
            <w:pPr>
              <w:pStyle w:val="Compact"/>
              <w:jc w:val="left"/>
            </w:pPr>
            <w:r>
              <w:t xml:space="preserve">Annual</w:t>
            </w:r>
          </w:p>
        </w:tc>
        <w:tc>
          <w:tcPr/>
          <w:p>
            <w:pPr>
              <w:pStyle w:val="Compact"/>
              <w:jc w:val="left"/>
            </w:pPr>
            <w:r>
              <w:t xml:space="preserve">$28,000.00</w:t>
            </w:r>
          </w:p>
        </w:tc>
        <w:tc>
          <w:tcPr/>
          <w:p>
            <w:pPr>
              <w:pStyle w:val="Compact"/>
              <w:jc w:val="left"/>
            </w:pPr>
            <w:r>
              <w:t xml:space="preserve">Ongoing compliance support</w:t>
            </w:r>
          </w:p>
        </w:tc>
      </w:tr>
      <w:tr>
        <w:tc>
          <w:tcPr/>
          <w:p>
            <w:pPr>
              <w:pStyle w:val="Compact"/>
              <w:jc w:val="left"/>
            </w:pPr>
            <w:r>
              <w:t xml:space="preserve">11</w:t>
            </w:r>
          </w:p>
        </w:tc>
        <w:tc>
          <w:tcPr/>
          <w:p>
            <w:pPr>
              <w:pStyle w:val="Compact"/>
              <w:jc w:val="left"/>
            </w:pPr>
            <w:r>
              <w:t xml:space="preserve">Professional Liability Insurance</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HR-specific coverage</w:t>
            </w:r>
          </w:p>
        </w:tc>
      </w:tr>
      <w:tr>
        <w:tc>
          <w:tcPr/>
          <w:p>
            <w:pPr>
              <w:pStyle w:val="Compact"/>
              <w:jc w:val="left"/>
            </w:pPr>
            <w:r>
              <w:t xml:space="preserve">12</w:t>
            </w:r>
          </w:p>
        </w:tc>
        <w:tc>
          <w:tcPr/>
          <w:p>
            <w:pPr>
              <w:pStyle w:val="Compact"/>
              <w:jc w:val="left"/>
            </w:pPr>
            <w:r>
              <w:t xml:space="preserve">Workstation &amp; Equipment Setup</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Office in Mexico City</w:t>
            </w:r>
          </w:p>
        </w:tc>
      </w:tr>
      <w:tr>
        <w:tc>
          <w:tcPr>
            <w:gridSpan w:val="3"/>
          </w:tcPr>
          <w:p>
            <w:pPr>
              <w:pStyle w:val="Compact"/>
              <w:jc w:val="left"/>
            </w:pPr>
            <w:r>
              <w:t xml:space="preserve">TOTAL ESTIMATED COST — FIRST YEAR</w:t>
            </w:r>
          </w:p>
        </w:tc>
        <w:tc>
          <w:tcPr/>
          <w:p>
            <w:pPr>
              <w:pStyle w:val="Compact"/>
              <w:jc w:val="left"/>
            </w:pPr>
            <w:r>
              <w:t xml:space="preserve">$215,134.00</w:t>
            </w:r>
          </w:p>
        </w:tc>
        <w:tc>
          <w:tcPr/>
          <w:p>
            <w:pPr>
              <w:pStyle w:val="Compact"/>
              <w:jc w:val="left"/>
            </w:pPr>
            <w:r>
              <w:t xml:space="preserve">MXN</w:t>
            </w:r>
          </w:p>
        </w:tc>
      </w:tr>
    </w:tbl>
    <w:bookmarkEnd w:id="23"/>
    <w:bookmarkStart w:id="24" w:name="X127d2dfa8444cda5af06d60abe5270da5cd2674"/>
    <w:p>
      <w:pPr>
        <w:pStyle w:val="Heading2"/>
      </w:pPr>
      <w:r>
        <w:t xml:space="preserve">4. Applicable Taxes and Regulatory Considerations</w:t>
      </w:r>
    </w:p>
    <w:p>
      <w:pPr>
        <w:pStyle w:val="FirstParagraph"/>
      </w:pPr>
      <w:r>
        <w:t xml:space="preserve">All amounts reflected in this Quotation Estimate are subject to the applicable Value Added Tax (IVA) of 16% as mandated by the Servicio de Administración Tributaria (SAT) for services rendered in Mexico City, Mexico. The Human Resources Manager's compensation will be processed in full compliance with the Ley Federal del Trabajo, the Ley del Seguro Social, and all local ordinances applicable to the Mexico City metropolitan area. Employer contributions to the IMSS, the Fondo de Vivienda para el Trabajador (INFONAVIT), and the Fondo de Seguro de Desempleo (FONACOT) are included in the figures above. Any changes in Mexican federal or local tax legislation between the date of this Quotation Estimate and the effective start date will be communicated in writing and may result in a revised estimate.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thirty (30) calendar days from the date of issue. After this period, all pricing and terms are subject to revision.</w:t>
      </w:r>
    </w:p>
    <w:p>
      <w:pPr>
        <w:numPr>
          <w:ilvl w:val="0"/>
          <w:numId w:val="1001"/>
        </w:numPr>
        <w:pStyle w:val="Compact"/>
      </w:pPr>
      <w:r>
        <w:t xml:space="preserve">The Human Resources Manager position described herein assumes a full-time engagement of 48 hours per week, Monday through Friday, with standard working hours as established by Mexican labor law in Mexico City.</w:t>
      </w:r>
    </w:p>
    <w:p>
      <w:pPr>
        <w:numPr>
          <w:ilvl w:val="0"/>
          <w:numId w:val="1001"/>
        </w:numPr>
        <w:pStyle w:val="Compact"/>
      </w:pPr>
      <w:r>
        <w:t xml:space="preserve">Payment terms: 50% upon signing of the service agreement, 30% upon successful onboarding of the Human Resources Manager, and 20% upon completion of the 90-day integration period.</w:t>
      </w:r>
    </w:p>
    <w:p>
      <w:pPr>
        <w:numPr>
          <w:ilvl w:val="0"/>
          <w:numId w:val="1001"/>
        </w:numPr>
        <w:pStyle w:val="Compact"/>
      </w:pPr>
      <w:r>
        <w:t xml:space="preserve">All payments shall be made in Mexican Pesos (MXN) via bank transfer to the account designated by Talento Corporativo MX, S.A. de C.V., located in Mexico City, Mexico.</w:t>
      </w:r>
    </w:p>
    <w:p>
      <w:pPr>
        <w:numPr>
          <w:ilvl w:val="0"/>
          <w:numId w:val="1001"/>
        </w:numPr>
        <w:pStyle w:val="Compact"/>
      </w:pPr>
      <w:r>
        <w:t xml:space="preserve">This Quotation Estimate does not constitute a labor contract. The employment relationship between the client and the Human Resources Manager will be governed by a separate written agreement compliant with Mexican labor legislation.</w:t>
      </w:r>
    </w:p>
    <w:p>
      <w:pPr>
        <w:numPr>
          <w:ilvl w:val="0"/>
          <w:numId w:val="1001"/>
        </w:numPr>
        <w:pStyle w:val="Compact"/>
      </w:pPr>
      <w:r>
        <w:t xml:space="preserve">Any modifications to the scope of services, the role of the Human Resources Manager, or the operational location within Mexico City must be agreed upon in writing by both parties prior to implementation.</w:t>
      </w:r>
    </w:p>
    <w:p>
      <w:pPr>
        <w:numPr>
          <w:ilvl w:val="0"/>
          <w:numId w:val="1001"/>
        </w:numPr>
        <w:pStyle w:val="Compact"/>
      </w:pPr>
      <w:r>
        <w:t xml:space="preserve">Confidentiality: All information contained in this Quotation Estimate and any subsequent negotiations regarding the Human Resources Manager position shall be treated as strictly confidential by both parties.</w:t>
      </w:r>
    </w:p>
    <w:p>
      <w:pPr>
        <w:numPr>
          <w:ilvl w:val="0"/>
          <w:numId w:val="1001"/>
        </w:numPr>
        <w:pStyle w:val="Compact"/>
      </w:pPr>
      <w:r>
        <w:t xml:space="preserve">Governing Law: This Quotation Estimate and any resulting agreements shall be governed by the commercial and labor laws of the United Mexican States, with jurisdiction in the courts of Mexico City, Mexico.</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 organization already holds a valid commercial registration (RFC) and employer registration (PAT) with the IMSS in Mexico City. It does not include costs related to office rent, utilities, or general administrative overhead beyond the workstation setup itemized above. Relocation expenses for the Human Resources Manager, should the candidate be sourced from outside Mexico City, are excluded and will be quoted separately upon request. This estimate also does not cover any collective bargaining agreements (Convenios Colectivos de Trabajo) that may apply to the client's specific industry sector.</w:t>
      </w:r>
    </w:p>
    <w:bookmarkEnd w:id="26"/>
    <w:bookmarkStart w:id="29" w:name="acceptance-and-authorization"/>
    <w:p>
      <w:pPr>
        <w:pStyle w:val="Heading2"/>
      </w:pPr>
      <w:r>
        <w:t xml:space="preserve">7. Acceptance and Authorization</w:t>
      </w:r>
    </w:p>
    <w:p>
      <w:pPr>
        <w:pStyle w:val="FirstParagraph"/>
      </w:pPr>
      <w:r>
        <w:t xml:space="preserve">By signing below, the client acknowledges receipt of this Quotation Estimate for the Human Resources Manager position in Mexico, Mexico City, and agrees to the terms, conditions, and financial projections outlined herein. This acceptance authorizes Talento Corporativo MX, S.A. de C.V. to proceed with the recruitment and onboarding process for the Human Resources Manager as described in Section 2 of this document.</w:t>
      </w:r>
    </w:p>
    <w:bookmarkStart w:id="27" w:name="client-authorized-representative"/>
    <w:p>
      <w:pPr>
        <w:pStyle w:val="Heading3"/>
      </w:pPr>
      <w:r>
        <w:t xml:space="preserve">Client / Authorized Representative</w:t>
      </w:r>
    </w:p>
    <w:p>
      <w:pPr>
        <w:pStyle w:val="FirstParagraph"/>
      </w:pPr>
      <w:r>
        <w:t xml:space="preserve">Name: ______________________________</w:t>
      </w:r>
    </w:p>
    <w:p>
      <w:pPr>
        <w:pStyle w:val="BodyText"/>
      </w:pPr>
      <w:r>
        <w:t xml:space="preserve">Title: ______________________________</w:t>
      </w:r>
    </w:p>
    <w:p>
      <w:pPr>
        <w:pStyle w:val="BodyText"/>
      </w:pPr>
      <w:r>
        <w:t xml:space="preserve">Company: ______________________________</w:t>
      </w:r>
    </w:p>
    <w:p>
      <w:pPr>
        <w:pStyle w:val="BodyText"/>
      </w:pPr>
      <w:r>
        <w:t xml:space="preserve">RFC: ______________________________</w:t>
      </w:r>
    </w:p>
    <w:p>
      <w:pPr>
        <w:pStyle w:val="BodyText"/>
      </w:pPr>
      <w:r>
        <w:t xml:space="preserve">Signature &amp; Date</w:t>
      </w:r>
    </w:p>
    <w:bookmarkEnd w:id="27"/>
    <w:bookmarkStart w:id="28" w:name="talento-corporativo-mx-s.a.-de-c.v."/>
    <w:p>
      <w:pPr>
        <w:pStyle w:val="Heading3"/>
      </w:pPr>
      <w:r>
        <w:t xml:space="preserve">Talento Corporativo MX, S.A. de C.V.</w:t>
      </w:r>
    </w:p>
    <w:p>
      <w:pPr>
        <w:pStyle w:val="FirstParagraph"/>
      </w:pPr>
      <w:r>
        <w:t xml:space="preserve">Name: ______________________________</w:t>
      </w:r>
    </w:p>
    <w:p>
      <w:pPr>
        <w:pStyle w:val="BodyText"/>
      </w:pPr>
      <w:r>
        <w:t xml:space="preserve">Title: Director de Operaciones</w:t>
      </w:r>
    </w:p>
    <w:p>
      <w:pPr>
        <w:pStyle w:val="BodyText"/>
      </w:pPr>
      <w:r>
        <w:t xml:space="preserve">Company: Talento Corporativo MX</w:t>
      </w:r>
    </w:p>
    <w:p>
      <w:pPr>
        <w:pStyle w:val="BodyText"/>
      </w:pPr>
      <w:r>
        <w:t xml:space="preserve">RFC: TCM250615AB1</w:t>
      </w:r>
    </w:p>
    <w:p>
      <w:pPr>
        <w:pStyle w:val="BodyText"/>
      </w:pPr>
      <w:r>
        <w:t xml:space="preserve">Signature &amp; Date</w:t>
      </w:r>
    </w:p>
    <w:bookmarkEnd w:id="28"/>
    <w:p>
      <w:pPr>
        <w:pStyle w:val="BodyText"/>
      </w:pPr>
      <w:r>
        <w:rPr>
          <w:bCs/>
          <w:b/>
        </w:rPr>
        <w:t xml:space="preserve">Quotation Estimate</w:t>
      </w:r>
      <w:r>
        <w:t xml:space="preserve"> </w:t>
      </w:r>
      <w:r>
        <w:t xml:space="preserve">REF: QTE-MXCD-HRM-2025-0472 |</w:t>
      </w:r>
      <w:r>
        <w:t xml:space="preserve"> </w:t>
      </w:r>
      <w:r>
        <w:rPr>
          <w:bCs/>
          <w:b/>
        </w:rPr>
        <w:t xml:space="preserve">Human Resources Manager</w:t>
      </w:r>
      <w:r>
        <w:t xml:space="preserve"> </w:t>
      </w:r>
      <w:r>
        <w:t xml:space="preserve">|</w:t>
      </w:r>
      <w:r>
        <w:t xml:space="preserve"> </w:t>
      </w:r>
      <w:r>
        <w:rPr>
          <w:bCs/>
          <w:b/>
        </w:rPr>
        <w:t xml:space="preserve">Mexico, Mexico City</w:t>
      </w:r>
    </w:p>
    <w:p>
      <w:pPr>
        <w:pStyle w:val="BodyText"/>
      </w:pPr>
      <w:r>
        <w:t xml:space="preserve">Talento Corporativo MX, S.A. de C.V. — Av. Paseo de la Reforma 505, Piso 12, Col. Cuauhtémoc, 06600 Mexico City, CDMX, Mexico</w:t>
      </w:r>
    </w:p>
    <w:p>
      <w:pPr>
        <w:pStyle w:val="BodyText"/>
      </w:pPr>
      <w:r>
        <w:t xml:space="preserve">This document is generated electronically and is valid without a physical stamp. For inquiries, contact quotes@talentocorp.mx or +52 (55) 5512-3456.</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Mexico Mexico City</dc:title>
  <dc:creator/>
  <dc:language>en</dc:language>
  <cp:keywords/>
  <dcterms:created xsi:type="dcterms:W3CDTF">2026-10-10T03:39:52Z</dcterms:created>
  <dcterms:modified xsi:type="dcterms:W3CDTF">2026-10-10T03:39:52Z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