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Russia</w:t>
      </w:r>
      <w:r>
        <w:t xml:space="preserve"> </w:t>
      </w:r>
      <w:r>
        <w:t xml:space="preserve">Moscow</w:t>
      </w:r>
    </w:p>
    <w:bookmarkStart w:id="20" w:name="quotation-estimate"/>
    <w:p>
      <w:pPr>
        <w:pStyle w:val="Heading1"/>
      </w:pPr>
      <w:r>
        <w:t xml:space="preserve">QUOTATION ESTIMATE</w:t>
      </w:r>
    </w:p>
    <w:p>
      <w:pPr>
        <w:pStyle w:val="FirstParagraph"/>
      </w:pPr>
      <w:r>
        <w:rPr>
          <w:bCs/>
          <w:b/>
        </w:rPr>
        <w:t xml:space="preserve">Ref. No.:</w:t>
      </w:r>
      <w:r>
        <w:t xml:space="preserve"> </w:t>
      </w:r>
      <w:r>
        <w:t xml:space="preserve">QE-RM-2025-04871</w:t>
      </w:r>
    </w:p>
    <w:p>
      <w:pPr>
        <w:pStyle w:val="BodyText"/>
      </w:pPr>
      <w:r>
        <w:rPr>
          <w:bCs/>
          <w:b/>
        </w:rPr>
        <w:t xml:space="preserve">Date of Issue:</w:t>
      </w:r>
      <w:r>
        <w:t xml:space="preserve"> </w:t>
      </w:r>
      <w:r>
        <w:t xml:space="preserve">12 June 2025</w:t>
      </w:r>
    </w:p>
    <w:p>
      <w:pPr>
        <w:pStyle w:val="BodyText"/>
      </w:pPr>
      <w:r>
        <w:rPr>
          <w:bCs/>
          <w:b/>
        </w:rPr>
        <w:t xml:space="preserve">Valid Until:</w:t>
      </w:r>
      <w:r>
        <w:t xml:space="preserve"> </w:t>
      </w:r>
      <w:r>
        <w:t xml:space="preserve">12 September 2025</w:t>
      </w:r>
    </w:p>
    <w:p>
      <w:pPr>
        <w:pStyle w:val="BodyText"/>
      </w:pPr>
      <w:r>
        <w:rPr>
          <w:bCs/>
          <w:b/>
        </w:rPr>
        <w:t xml:space="preserve">Prepared For:</w:t>
      </w:r>
      <w:r>
        <w:t xml:space="preserve"> </w:t>
      </w:r>
      <w:r>
        <w:t xml:space="preserve">Client Organization – Russia Moscow</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Quoting Company:</w:t>
            </w:r>
          </w:p>
        </w:tc>
        <w:tc>
          <w:tcPr/>
          <w:p>
            <w:pPr>
              <w:pStyle w:val="Compact"/>
              <w:jc w:val="left"/>
            </w:pPr>
            <w:r>
              <w:t xml:space="preserve">Meridian Talent Solutions LLC, 12 Tverskaya Street, Building 4, Moscow, 125009, Russian Federation</w:t>
            </w:r>
          </w:p>
        </w:tc>
      </w:tr>
      <w:tr>
        <w:tc>
          <w:tcPr/>
          <w:p>
            <w:pPr>
              <w:pStyle w:val="Compact"/>
              <w:jc w:val="left"/>
            </w:pPr>
            <w:r>
              <w:t xml:space="preserve">Client Name:</w:t>
            </w:r>
          </w:p>
        </w:tc>
        <w:tc>
          <w:tcPr/>
          <w:p>
            <w:pPr>
              <w:pStyle w:val="Compact"/>
              <w:jc w:val="left"/>
            </w:pPr>
            <w:r>
              <w:t xml:space="preserve">[Client Legal Entity Name], Moscow, Russia</w:t>
            </w:r>
          </w:p>
        </w:tc>
      </w:tr>
      <w:tr>
        <w:tc>
          <w:tcPr/>
          <w:p>
            <w:pPr>
              <w:pStyle w:val="Compact"/>
              <w:jc w:val="left"/>
            </w:pPr>
            <w:r>
              <w:t xml:space="preserve">Client Address:</w:t>
            </w:r>
          </w:p>
        </w:tc>
        <w:tc>
          <w:tcPr/>
          <w:p>
            <w:pPr>
              <w:pStyle w:val="Compact"/>
              <w:jc w:val="left"/>
            </w:pPr>
            <w:r>
              <w:t xml:space="preserve">[Street, Building, Floor], Moscow, 101000, Russian Federation</w:t>
            </w:r>
          </w:p>
        </w:tc>
      </w:tr>
      <w:tr>
        <w:tc>
          <w:tcPr/>
          <w:p>
            <w:pPr>
              <w:pStyle w:val="Compact"/>
              <w:jc w:val="left"/>
            </w:pPr>
            <w:r>
              <w:t xml:space="preserve">Position Quoted:</w:t>
            </w:r>
          </w:p>
        </w:tc>
        <w:tc>
          <w:tcPr/>
          <w:p>
            <w:pPr>
              <w:pStyle w:val="Compact"/>
              <w:jc w:val="left"/>
            </w:pPr>
            <w:r>
              <w:t xml:space="preserve">Human Resources Manager</w:t>
            </w:r>
          </w:p>
        </w:tc>
      </w:tr>
      <w:tr>
        <w:tc>
          <w:tcPr/>
          <w:p>
            <w:pPr>
              <w:pStyle w:val="Compact"/>
              <w:jc w:val="left"/>
            </w:pPr>
            <w:r>
              <w:t xml:space="preserve">Work Location:</w:t>
            </w:r>
          </w:p>
        </w:tc>
        <w:tc>
          <w:tcPr/>
          <w:p>
            <w:pPr>
              <w:pStyle w:val="Compact"/>
              <w:jc w:val="left"/>
            </w:pPr>
            <w:r>
              <w:t xml:space="preserve">Russia Moscow – Primary Office, Tverskoy District</w:t>
            </w:r>
          </w:p>
        </w:tc>
      </w:tr>
      <w:tr>
        <w:tc>
          <w:tcPr/>
          <w:p>
            <w:pPr>
              <w:pStyle w:val="Compact"/>
              <w:jc w:val="left"/>
            </w:pPr>
            <w:r>
              <w:t xml:space="preserve">Engagement Type:</w:t>
            </w:r>
          </w:p>
        </w:tc>
        <w:tc>
          <w:tcPr/>
          <w:p>
            <w:pPr>
              <w:pStyle w:val="Compact"/>
              <w:jc w:val="left"/>
            </w:pPr>
            <w:r>
              <w:t xml:space="preserve">Full-Time, Permanent (with 3-month probationary period)</w:t>
            </w:r>
          </w:p>
        </w:tc>
      </w:tr>
      <w:tr>
        <w:tc>
          <w:tcPr/>
          <w:p>
            <w:pPr>
              <w:pStyle w:val="Compact"/>
              <w:jc w:val="left"/>
            </w:pPr>
            <w:r>
              <w:t xml:space="preserve">Contract Duration:</w:t>
            </w:r>
          </w:p>
        </w:tc>
        <w:tc>
          <w:tcPr/>
          <w:p>
            <w:pPr>
              <w:pStyle w:val="Compact"/>
              <w:jc w:val="left"/>
            </w:pPr>
            <w:r>
              <w:t xml:space="preserve">Indefinite (subject to Russian Federation Labor Code, Federal Law No. 197-FZ)</w:t>
            </w:r>
          </w:p>
        </w:tc>
      </w:tr>
    </w:tbl>
    <w:bookmarkStart w:id="21" w:name="purpose-of-this-quotation-estimate"/>
    <w:p>
      <w:pPr>
        <w:pStyle w:val="Heading2"/>
      </w:pPr>
      <w:r>
        <w:t xml:space="preserve">1. Purpose of This Quotation Estimate</w:t>
      </w:r>
    </w:p>
    <w:p>
      <w:pPr>
        <w:pStyle w:val="FirstParagraph"/>
      </w:pPr>
      <w:r>
        <w:t xml:space="preserve">This Quotation Estimate is issued by Meridian Talent Solutions LLC to formally present the comprehensive cost structure, compensation package, and associated professional services for the recruitment, onboarding, and first-year engagement of a</w:t>
      </w:r>
      <w:r>
        <w:t xml:space="preserve"> </w:t>
      </w:r>
      <w:r>
        <w:rPr>
          <w:bCs/>
          <w:b/>
        </w:rPr>
        <w:t xml:space="preserve">Human Resources Manager</w:t>
      </w:r>
      <w:r>
        <w:t xml:space="preserve"> </w:t>
      </w:r>
      <w:r>
        <w:t xml:space="preserve">position within the client's operational headquarters located in</w:t>
      </w:r>
      <w:r>
        <w:t xml:space="preserve"> </w:t>
      </w:r>
      <w:r>
        <w:rPr>
          <w:bCs/>
          <w:b/>
        </w:rPr>
        <w:t xml:space="preserve">Russia Moscow</w:t>
      </w:r>
      <w:r>
        <w:t xml:space="preserve">. This document serves as a binding financial proposal and shall remain valid for a period of ninety (90) calendar days from the date of issue, after which all rates and terms herein may be subject to revision in accordance with prevailing market conditions in the Moscow metropolitan labor market.</w:t>
      </w:r>
    </w:p>
    <w:bookmarkEnd w:id="21"/>
    <w:bookmarkStart w:id="22" w:name="Xb7adf19d9a9c0f9096db3ba27b8d23f2d6436da"/>
    <w:p>
      <w:pPr>
        <w:pStyle w:val="Heading2"/>
      </w:pPr>
      <w:r>
        <w:t xml:space="preserve">2. Scope of Services – Human Resources Manager Role</w:t>
      </w:r>
    </w:p>
    <w:p>
      <w:pPr>
        <w:pStyle w:val="FirstParagraph"/>
      </w:pPr>
      <w:r>
        <w:t xml:space="preserve">The</w:t>
      </w:r>
      <w:r>
        <w:t xml:space="preserve"> </w:t>
      </w:r>
      <w:r>
        <w:rPr>
          <w:bCs/>
          <w:b/>
        </w:rPr>
        <w:t xml:space="preserve">Human Resources Manager</w:t>
      </w:r>
      <w:r>
        <w:t xml:space="preserve"> </w:t>
      </w:r>
      <w:r>
        <w:t xml:space="preserve">engaged under this Quotation Estimate shall be responsible for the full spectrum of human capital management functions within the client organization operating in</w:t>
      </w:r>
      <w:r>
        <w:t xml:space="preserve"> </w:t>
      </w:r>
      <w:r>
        <w:rPr>
          <w:bCs/>
          <w:b/>
        </w:rPr>
        <w:t xml:space="preserve">Russia Moscow</w:t>
      </w:r>
      <w:r>
        <w:t xml:space="preserve">. The scope of duties includes, but is not limited to:</w:t>
      </w:r>
    </w:p>
    <w:p>
      <w:pPr>
        <w:numPr>
          <w:ilvl w:val="0"/>
          <w:numId w:val="1001"/>
        </w:numPr>
        <w:pStyle w:val="Compact"/>
      </w:pPr>
      <w:r>
        <w:t xml:space="preserve">Strategic workforce planning and headcount management aligned with the client's annual business objectives in the Moscow region.</w:t>
      </w:r>
    </w:p>
    <w:p>
      <w:pPr>
        <w:numPr>
          <w:ilvl w:val="0"/>
          <w:numId w:val="1001"/>
        </w:numPr>
        <w:pStyle w:val="Compact"/>
      </w:pPr>
      <w:r>
        <w:t xml:space="preserve">End-to-end recruitment, selection, and onboarding of personnel in compliance with the Labor Code of the Russian Federation.</w:t>
      </w:r>
    </w:p>
    <w:p>
      <w:pPr>
        <w:numPr>
          <w:ilvl w:val="0"/>
          <w:numId w:val="1001"/>
        </w:numPr>
        <w:pStyle w:val="Compact"/>
      </w:pPr>
      <w:r>
        <w:t xml:space="preserve">Administration of employee contracts, payroll coordination, and statutory social contributions (pension, medical, and unemployment insurance) as mandated by Russian federal and municipal regulations.</w:t>
      </w:r>
    </w:p>
    <w:p>
      <w:pPr>
        <w:numPr>
          <w:ilvl w:val="0"/>
          <w:numId w:val="1001"/>
        </w:numPr>
        <w:pStyle w:val="Compact"/>
      </w:pPr>
      <w:r>
        <w:t xml:space="preserve">Design and implementation of performance management frameworks, employee development programs, and internal training curricula.</w:t>
      </w:r>
    </w:p>
    <w:p>
      <w:pPr>
        <w:numPr>
          <w:ilvl w:val="0"/>
          <w:numId w:val="1001"/>
        </w:numPr>
        <w:pStyle w:val="Compact"/>
      </w:pPr>
      <w:r>
        <w:t xml:space="preserve">Management of labor relations, dispute resolution, and compliance with the Moscow City Department of Labor and Employment oversight requirements.</w:t>
      </w:r>
    </w:p>
    <w:p>
      <w:pPr>
        <w:numPr>
          <w:ilvl w:val="0"/>
          <w:numId w:val="1001"/>
        </w:numPr>
        <w:pStyle w:val="Compact"/>
      </w:pPr>
      <w:r>
        <w:t xml:space="preserve">Development and enforcement of internal HR policies, code of conduct, and anti-harassment protocols tailored to the</w:t>
      </w:r>
      <w:r>
        <w:t xml:space="preserve"> </w:t>
      </w:r>
      <w:r>
        <w:rPr>
          <w:bCs/>
          <w:b/>
        </w:rPr>
        <w:t xml:space="preserve">Russia Moscow</w:t>
      </w:r>
      <w:r>
        <w:t xml:space="preserve"> </w:t>
      </w:r>
      <w:r>
        <w:t xml:space="preserve">corporate environment.</w:t>
      </w:r>
    </w:p>
    <w:p>
      <w:pPr>
        <w:numPr>
          <w:ilvl w:val="0"/>
          <w:numId w:val="1001"/>
        </w:numPr>
        <w:pStyle w:val="Compact"/>
      </w:pPr>
      <w:r>
        <w:t xml:space="preserve">Coordination with external legal counsel, tax advisors, and government agencies (FNS, FSS, FSSP) as required for HR compliance.</w:t>
      </w:r>
    </w:p>
    <w:bookmarkEnd w:id="22"/>
    <w:bookmarkStart w:id="23" w:name="X9731a520f2df829f1d1069be7bb81379a3f65c0"/>
    <w:p>
      <w:pPr>
        <w:pStyle w:val="Heading2"/>
      </w:pPr>
      <w:r>
        <w:t xml:space="preserve">3. Financial Breakdown – Quotation Estimate Details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Frequency</w:t>
            </w:r>
          </w:p>
        </w:tc>
        <w:tc>
          <w:tcPr/>
          <w:p>
            <w:pPr>
              <w:pStyle w:val="Compact"/>
              <w:jc w:val="left"/>
            </w:pPr>
            <w:r>
              <w:t xml:space="preserve">Amount (RUB)</w:t>
            </w:r>
          </w:p>
        </w:tc>
      </w:tr>
      <w:tr>
        <w:tc>
          <w:tcPr/>
          <w:p>
            <w:pPr>
              <w:pStyle w:val="Compact"/>
              <w:jc w:val="left"/>
            </w:pPr>
            <w:r>
              <w:t xml:space="preserve">3.1</w:t>
            </w:r>
          </w:p>
        </w:tc>
        <w:tc>
          <w:tcPr/>
          <w:p>
            <w:pPr>
              <w:pStyle w:val="Compact"/>
              <w:jc w:val="left"/>
            </w:pPr>
            <w:r>
              <w:t xml:space="preserve">Base Monthly Salary – Human Resources Manager (Gross, pre-tax)</w:t>
            </w:r>
          </w:p>
        </w:tc>
        <w:tc>
          <w:tcPr/>
          <w:p>
            <w:pPr>
              <w:pStyle w:val="Compact"/>
              <w:jc w:val="left"/>
            </w:pPr>
            <w:r>
              <w:t xml:space="preserve">Monthly</w:t>
            </w:r>
          </w:p>
        </w:tc>
        <w:tc>
          <w:tcPr/>
          <w:p>
            <w:pPr>
              <w:pStyle w:val="Compact"/>
              <w:jc w:val="left"/>
            </w:pPr>
            <w:r>
              <w:t xml:space="preserve">285,000.00</w:t>
            </w:r>
          </w:p>
        </w:tc>
      </w:tr>
      <w:tr>
        <w:tc>
          <w:tcPr/>
          <w:p>
            <w:pPr>
              <w:pStyle w:val="Compact"/>
              <w:jc w:val="left"/>
            </w:pPr>
            <w:r>
              <w:t xml:space="preserve">3.2</w:t>
            </w:r>
          </w:p>
        </w:tc>
        <w:tc>
          <w:tcPr/>
          <w:p>
            <w:pPr>
              <w:pStyle w:val="Compact"/>
              <w:jc w:val="left"/>
            </w:pPr>
            <w:r>
              <w:t xml:space="preserve">Performance Bonus Pool (up to 15% of annual base, paid quarterly)</w:t>
            </w:r>
          </w:p>
        </w:tc>
        <w:tc>
          <w:tcPr/>
          <w:p>
            <w:pPr>
              <w:pStyle w:val="Compact"/>
              <w:jc w:val="left"/>
            </w:pPr>
            <w:r>
              <w:t xml:space="preserve">Quarterly</w:t>
            </w:r>
          </w:p>
        </w:tc>
        <w:tc>
          <w:tcPr/>
          <w:p>
            <w:pPr>
              <w:pStyle w:val="Compact"/>
              <w:jc w:val="left"/>
            </w:pPr>
            <w:r>
              <w:t xml:space="preserve">63,375.00</w:t>
            </w:r>
          </w:p>
        </w:tc>
      </w:tr>
      <w:tr>
        <w:tc>
          <w:tcPr/>
          <w:p>
            <w:pPr>
              <w:pStyle w:val="Compact"/>
              <w:jc w:val="left"/>
            </w:pPr>
            <w:r>
              <w:t xml:space="preserve">3.3</w:t>
            </w:r>
          </w:p>
        </w:tc>
        <w:tc>
          <w:tcPr/>
          <w:p>
            <w:pPr>
              <w:pStyle w:val="Compact"/>
              <w:jc w:val="left"/>
            </w:pPr>
            <w:r>
              <w:t xml:space="preserve">Statutory Employer Social Contributions (30.2% of gross salary)</w:t>
            </w:r>
          </w:p>
        </w:tc>
        <w:tc>
          <w:tcPr/>
          <w:p>
            <w:pPr>
              <w:pStyle w:val="Compact"/>
              <w:jc w:val="left"/>
            </w:pPr>
            <w:r>
              <w:t xml:space="preserve">Monthly</w:t>
            </w:r>
          </w:p>
        </w:tc>
        <w:tc>
          <w:tcPr/>
          <w:p>
            <w:pPr>
              <w:pStyle w:val="Compact"/>
              <w:jc w:val="left"/>
            </w:pPr>
            <w:r>
              <w:t xml:space="preserve">86,070.00</w:t>
            </w:r>
          </w:p>
        </w:tc>
      </w:tr>
      <w:tr>
        <w:tc>
          <w:tcPr/>
          <w:p>
            <w:pPr>
              <w:pStyle w:val="Compact"/>
              <w:jc w:val="left"/>
            </w:pPr>
            <w:r>
              <w:t xml:space="preserve">3.4</w:t>
            </w:r>
          </w:p>
        </w:tc>
        <w:tc>
          <w:tcPr/>
          <w:p>
            <w:pPr>
              <w:pStyle w:val="Compact"/>
              <w:jc w:val="left"/>
            </w:pPr>
            <w:r>
              <w:t xml:space="preserve">Annual Health Insurance Supplement (DMS – Moscow City Tier)</w:t>
            </w:r>
          </w:p>
        </w:tc>
        <w:tc>
          <w:tcPr/>
          <w:p>
            <w:pPr>
              <w:pStyle w:val="Compact"/>
              <w:jc w:val="left"/>
            </w:pPr>
            <w:r>
              <w:t xml:space="preserve">Monthly</w:t>
            </w:r>
          </w:p>
        </w:tc>
        <w:tc>
          <w:tcPr/>
          <w:p>
            <w:pPr>
              <w:pStyle w:val="Compact"/>
              <w:jc w:val="left"/>
            </w:pPr>
            <w:r>
              <w:t xml:space="preserve">12,500.00</w:t>
            </w:r>
          </w:p>
        </w:tc>
      </w:tr>
      <w:tr>
        <w:tc>
          <w:tcPr/>
          <w:p>
            <w:pPr>
              <w:pStyle w:val="Compact"/>
              <w:jc w:val="left"/>
            </w:pPr>
            <w:r>
              <w:t xml:space="preserve">3.5</w:t>
            </w:r>
          </w:p>
        </w:tc>
        <w:tc>
          <w:tcPr/>
          <w:p>
            <w:pPr>
              <w:pStyle w:val="Compact"/>
              <w:jc w:val="left"/>
            </w:pPr>
            <w:r>
              <w:t xml:space="preserve">Professional Development &amp; Certification Budget (HR specialist programs)</w:t>
            </w:r>
          </w:p>
        </w:tc>
        <w:tc>
          <w:tcPr/>
          <w:p>
            <w:pPr>
              <w:pStyle w:val="Compact"/>
              <w:jc w:val="left"/>
            </w:pPr>
            <w:r>
              <w:t xml:space="preserve">Annual</w:t>
            </w:r>
          </w:p>
        </w:tc>
        <w:tc>
          <w:tcPr/>
          <w:p>
            <w:pPr>
              <w:pStyle w:val="Compact"/>
              <w:jc w:val="left"/>
            </w:pPr>
            <w:r>
              <w:t xml:space="preserve">180,000.00</w:t>
            </w:r>
          </w:p>
        </w:tc>
      </w:tr>
      <w:tr>
        <w:tc>
          <w:tcPr/>
          <w:p>
            <w:pPr>
              <w:pStyle w:val="Compact"/>
              <w:jc w:val="left"/>
            </w:pPr>
            <w:r>
              <w:t xml:space="preserve">3.6</w:t>
            </w:r>
          </w:p>
        </w:tc>
        <w:tc>
          <w:tcPr/>
          <w:p>
            <w:pPr>
              <w:pStyle w:val="Compact"/>
              <w:jc w:val="left"/>
            </w:pPr>
            <w:r>
              <w:t xml:space="preserve">Recruitment &amp; Onboarding Service Fee (one-time, paid to Meridian Talent Solutions)</w:t>
            </w:r>
          </w:p>
        </w:tc>
        <w:tc>
          <w:tcPr/>
          <w:p>
            <w:pPr>
              <w:pStyle w:val="Compact"/>
              <w:jc w:val="left"/>
            </w:pPr>
            <w:r>
              <w:t xml:space="preserve">One-time</w:t>
            </w:r>
          </w:p>
        </w:tc>
        <w:tc>
          <w:tcPr/>
          <w:p>
            <w:pPr>
              <w:pStyle w:val="Compact"/>
              <w:jc w:val="left"/>
            </w:pPr>
            <w:r>
              <w:t xml:space="preserve">427,500.00</w:t>
            </w:r>
          </w:p>
        </w:tc>
      </w:tr>
      <w:tr>
        <w:tc>
          <w:tcPr/>
          <w:p>
            <w:pPr>
              <w:pStyle w:val="Compact"/>
              <w:jc w:val="left"/>
            </w:pPr>
            <w:r>
              <w:t xml:space="preserve">3.7</w:t>
            </w:r>
          </w:p>
        </w:tc>
        <w:tc>
          <w:tcPr/>
          <w:p>
            <w:pPr>
              <w:pStyle w:val="Compact"/>
              <w:jc w:val="left"/>
            </w:pPr>
            <w:r>
              <w:t xml:space="preserve">Annual HR Compliance Audit &amp; Regulatory Reporting (Russia Moscow jurisdiction)</w:t>
            </w:r>
          </w:p>
        </w:tc>
        <w:tc>
          <w:tcPr/>
          <w:p>
            <w:pPr>
              <w:pStyle w:val="Compact"/>
              <w:jc w:val="left"/>
            </w:pPr>
            <w:r>
              <w:t xml:space="preserve">Annual</w:t>
            </w:r>
          </w:p>
        </w:tc>
        <w:tc>
          <w:tcPr/>
          <w:p>
            <w:pPr>
              <w:pStyle w:val="Compact"/>
              <w:jc w:val="left"/>
            </w:pPr>
            <w:r>
              <w:t xml:space="preserve">95,000.00</w:t>
            </w:r>
          </w:p>
        </w:tc>
      </w:tr>
      <w:tr>
        <w:tc>
          <w:tcPr/>
          <w:p>
            <w:pPr>
              <w:pStyle w:val="Compact"/>
              <w:jc w:val="left"/>
            </w:pPr>
            <w:r>
              <w:t xml:space="preserve">3.8</w:t>
            </w:r>
          </w:p>
        </w:tc>
        <w:tc>
          <w:tcPr/>
          <w:p>
            <w:pPr>
              <w:pStyle w:val="Compact"/>
              <w:jc w:val="left"/>
            </w:pPr>
            <w:r>
              <w:t xml:space="preserve">Office Equipment &amp; IT Provision (laptop, software licenses, ergonomic workstation)</w:t>
            </w:r>
          </w:p>
        </w:tc>
        <w:tc>
          <w:tcPr/>
          <w:p>
            <w:pPr>
              <w:pStyle w:val="Compact"/>
              <w:jc w:val="left"/>
            </w:pPr>
            <w:r>
              <w:t xml:space="preserve">One-time</w:t>
            </w:r>
          </w:p>
        </w:tc>
        <w:tc>
          <w:tcPr/>
          <w:p>
            <w:pPr>
              <w:pStyle w:val="Compact"/>
              <w:jc w:val="left"/>
            </w:pPr>
            <w:r>
              <w:t xml:space="preserve">145,000.00</w:t>
            </w:r>
          </w:p>
        </w:tc>
      </w:tr>
      <w:tr>
        <w:tc>
          <w:tcPr>
            <w:gridSpan w:val="3"/>
          </w:tcPr>
          <w:p>
            <w:pPr>
              <w:pStyle w:val="Compact"/>
              <w:jc w:val="left"/>
            </w:pPr>
            <w:r>
              <w:t xml:space="preserve">TOTAL ESTIMATED ANNUAL COST (Year 1)</w:t>
            </w:r>
          </w:p>
        </w:tc>
        <w:tc>
          <w:tcPr/>
          <w:p>
            <w:pPr>
              <w:pStyle w:val="Compact"/>
              <w:jc w:val="left"/>
            </w:pPr>
            <w:r>
              <w:t xml:space="preserve">5,273,625.00</w:t>
            </w:r>
          </w:p>
        </w:tc>
      </w:tr>
      <w:tr>
        <w:tc>
          <w:tcPr>
            <w:gridSpan w:val="3"/>
          </w:tcPr>
          <w:p>
            <w:pPr>
              <w:pStyle w:val="Compact"/>
              <w:jc w:val="left"/>
            </w:pPr>
            <w:r>
              <w:t xml:space="preserve">TOTAL ESTIMATED ANNUAL COST (Year 2 onwards, excl. one-time items)</w:t>
            </w:r>
          </w:p>
        </w:tc>
        <w:tc>
          <w:tcPr/>
          <w:p>
            <w:pPr>
              <w:pStyle w:val="Compact"/>
              <w:jc w:val="left"/>
            </w:pPr>
            <w:r>
              <w:t xml:space="preserve">4,651,125.00</w:t>
            </w:r>
          </w:p>
        </w:tc>
      </w:tr>
    </w:tbl>
    <w:p>
      <w:pPr>
        <w:pStyle w:val="BodyText"/>
      </w:pPr>
      <w:r>
        <w:t xml:space="preserve">All amounts stated in this Quotation Estimate are denominated in Russian Rubles (RUB) and are exclusive of Value Added Tax (VAT / НДС) at the prevailing rate of 20%, which shall be added to the invoice upon execution of the service agreement. Currency fluctuations, if any, shall be governed by the Central Bank of Russia's official exchange rate on the date of payment.</w:t>
      </w:r>
    </w:p>
    <w:bookmarkEnd w:id="23"/>
    <w:bookmarkStart w:id="24" w:name="terms-and-conditions"/>
    <w:p>
      <w:pPr>
        <w:pStyle w:val="Heading2"/>
      </w:pPr>
      <w:r>
        <w:t xml:space="preserve">4. Terms and Conditions</w:t>
      </w:r>
    </w:p>
    <w:p>
      <w:pPr>
        <w:numPr>
          <w:ilvl w:val="0"/>
          <w:numId w:val="1002"/>
        </w:numPr>
        <w:pStyle w:val="Compact"/>
      </w:pPr>
      <w:r>
        <w:t xml:space="preserve">This Quotation Estimate is non-binding until formally accepted in writing by both parties and converted into a definitive Service Agreement and Employment Contract governed by the laws of the Russian Federation.</w:t>
      </w:r>
    </w:p>
    <w:p>
      <w:pPr>
        <w:numPr>
          <w:ilvl w:val="0"/>
          <w:numId w:val="1002"/>
        </w:numPr>
        <w:pStyle w:val="Compact"/>
      </w:pPr>
      <w:r>
        <w:t xml:space="preserve">The</w:t>
      </w:r>
      <w:r>
        <w:t xml:space="preserve"> </w:t>
      </w:r>
      <w:r>
        <w:rPr>
          <w:bCs/>
          <w:b/>
        </w:rPr>
        <w:t xml:space="preserve">Human Resources Manager</w:t>
      </w:r>
      <w:r>
        <w:t xml:space="preserve"> </w:t>
      </w:r>
      <w:r>
        <w:t xml:space="preserve">candidate shall be subject to a comprehensive background check, reference verification, and medical examination as required by Russian labor legislation prior to the commencement of employment in</w:t>
      </w:r>
      <w:r>
        <w:t xml:space="preserve"> </w:t>
      </w:r>
      <w:r>
        <w:rPr>
          <w:bCs/>
          <w:b/>
        </w:rPr>
        <w:t xml:space="preserve">Russia Moscow</w:t>
      </w:r>
      <w:r>
        <w:t xml:space="preserve">.</w:t>
      </w:r>
    </w:p>
    <w:p>
      <w:pPr>
        <w:numPr>
          <w:ilvl w:val="0"/>
          <w:numId w:val="1002"/>
        </w:numPr>
        <w:pStyle w:val="Compact"/>
      </w:pPr>
      <w:r>
        <w:t xml:space="preserve">Payment terms: 50% of the recruitment service fee (Item 3.6) is due upon candidate shortlisting; the remaining 50% is due upon successful completion of the 3-month probationary period. All other items are payable per the frequency indicated in Section 3.</w:t>
      </w:r>
    </w:p>
    <w:p>
      <w:pPr>
        <w:numPr>
          <w:ilvl w:val="0"/>
          <w:numId w:val="1002"/>
        </w:numPr>
        <w:pStyle w:val="Compact"/>
      </w:pPr>
      <w:r>
        <w:t xml:space="preserve">Any scope changes, additional headcount requirements, or modifications to the</w:t>
      </w:r>
      <w:r>
        <w:t xml:space="preserve"> </w:t>
      </w:r>
      <w:r>
        <w:rPr>
          <w:bCs/>
          <w:b/>
        </w:rPr>
        <w:t xml:space="preserve">Human Resources Manager</w:t>
      </w:r>
      <w:r>
        <w:t xml:space="preserve"> </w:t>
      </w:r>
      <w:r>
        <w:t xml:space="preserve">role description must be documented via a formal Change Order amendment to this Quotation Estimate.</w:t>
      </w:r>
    </w:p>
    <w:p>
      <w:pPr>
        <w:numPr>
          <w:ilvl w:val="0"/>
          <w:numId w:val="1002"/>
        </w:numPr>
        <w:pStyle w:val="Compact"/>
      </w:pPr>
      <w:r>
        <w:t xml:space="preserve">Confidentiality: All personnel data, compensation structures, and internal HR documentation handled under this engagement in</w:t>
      </w:r>
      <w:r>
        <w:t xml:space="preserve"> </w:t>
      </w:r>
      <w:r>
        <w:rPr>
          <w:bCs/>
          <w:b/>
        </w:rPr>
        <w:t xml:space="preserve">Russia Moscow</w:t>
      </w:r>
      <w:r>
        <w:t xml:space="preserve"> </w:t>
      </w:r>
      <w:r>
        <w:t xml:space="preserve">shall be protected in accordance with Federal Law No. 152-FZ "On Personal Data."</w:t>
      </w:r>
    </w:p>
    <w:p>
      <w:pPr>
        <w:numPr>
          <w:ilvl w:val="0"/>
          <w:numId w:val="1002"/>
        </w:numPr>
        <w:pStyle w:val="Compact"/>
      </w:pPr>
      <w:r>
        <w:t xml:space="preserve">Dispute resolution: Any disputes arising from this Quotation Estimate shall be resolved through negotiation, followed by arbitration at the Moscow Arbitration Court, in accordance with the Civil Procedure Code of the Russian Federation.</w:t>
      </w:r>
    </w:p>
    <w:p>
      <w:pPr>
        <w:pStyle w:val="FirstParagraph"/>
      </w:pPr>
      <w:r>
        <w:rPr>
          <w:bCs/>
          <w:b/>
        </w:rPr>
        <w:t xml:space="preserve">Important Note:</w:t>
      </w:r>
      <w:r>
        <w:t xml:space="preserve"> </w:t>
      </w:r>
      <w:r>
        <w:t xml:space="preserve">This Quotation Estimate reflects market-rate compensation benchmarks for a senior</w:t>
      </w:r>
      <w:r>
        <w:t xml:space="preserve"> </w:t>
      </w:r>
      <w:r>
        <w:rPr>
          <w:bCs/>
          <w:b/>
        </w:rPr>
        <w:t xml:space="preserve">Human Resources Manager</w:t>
      </w:r>
      <w:r>
        <w:t xml:space="preserve"> </w:t>
      </w:r>
      <w:r>
        <w:t xml:space="preserve">in the</w:t>
      </w:r>
      <w:r>
        <w:t xml:space="preserve"> </w:t>
      </w:r>
      <w:r>
        <w:rPr>
          <w:bCs/>
          <w:b/>
        </w:rPr>
        <w:t xml:space="preserve">Russia Moscow</w:t>
      </w:r>
      <w:r>
        <w:t xml:space="preserve"> </w:t>
      </w:r>
      <w:r>
        <w:t xml:space="preserve">metropolitan area as of Q2 2025. Rates are subject to annual review based on the Moscow City Consumer Price Index (CPI) and prevailing labor market conditions. The client acknowledges that statutory employer contributions (Item 3.3) are non-negotiable obligations under Russian federal law.</w:t>
      </w:r>
    </w:p>
    <w:bookmarkEnd w:id="24"/>
    <w:bookmarkStart w:id="25" w:name="acceptance-and-authorization"/>
    <w:p>
      <w:pPr>
        <w:pStyle w:val="Heading2"/>
      </w:pPr>
      <w:r>
        <w:t xml:space="preserve">5. Acceptance and Authorization</w:t>
      </w:r>
    </w:p>
    <w:p>
      <w:pPr>
        <w:pStyle w:val="FirstParagraph"/>
      </w:pPr>
      <w:r>
        <w:t xml:space="preserve">By signing below, both parties confirm their acceptance of the terms, conditions, and financial figures outlined in this Quotation Estimate for the</w:t>
      </w:r>
      <w:r>
        <w:t xml:space="preserve"> </w:t>
      </w:r>
      <w:r>
        <w:rPr>
          <w:bCs/>
          <w:b/>
        </w:rPr>
        <w:t xml:space="preserve">Human Resources Manager</w:t>
      </w:r>
      <w:r>
        <w:t xml:space="preserve"> </w:t>
      </w:r>
      <w:r>
        <w:t xml:space="preserve">engagement in</w:t>
      </w:r>
      <w:r>
        <w:t xml:space="preserve"> </w:t>
      </w:r>
      <w:r>
        <w:rPr>
          <w:bCs/>
          <w:b/>
        </w:rPr>
        <w:t xml:space="preserve">Russia Moscow</w:t>
      </w:r>
      <w:r>
        <w:t xml:space="preserve">. This document, once countersigned, shall constitute a preliminary agreement and form the financial annex to the definitive Employment Contract and Service Agreement.</w:t>
      </w:r>
    </w:p>
    <w:p>
      <w:pPr>
        <w:pStyle w:val="BodyText"/>
      </w:pPr>
      <w:r>
        <w:rPr>
          <w:bCs/>
          <w:b/>
        </w:rPr>
        <w:t xml:space="preserve">For Meridian Talent Solutions LLC</w:t>
      </w:r>
    </w:p>
    <w:p>
      <w:pPr>
        <w:pStyle w:val="BodyText"/>
      </w:pPr>
      <w:r>
        <w:t xml:space="preserve">Name: _________________________</w:t>
      </w:r>
    </w:p>
    <w:p>
      <w:pPr>
        <w:pStyle w:val="BodyText"/>
      </w:pPr>
      <w:r>
        <w:t xml:space="preserve">Title: Director of Operations</w:t>
      </w:r>
    </w:p>
    <w:p>
      <w:pPr>
        <w:pStyle w:val="BodyText"/>
      </w:pPr>
      <w:r>
        <w:t xml:space="preserve">Signature: _________________________</w:t>
      </w:r>
    </w:p>
    <w:p>
      <w:pPr>
        <w:pStyle w:val="BodyText"/>
      </w:pPr>
      <w:r>
        <w:t xml:space="preserve">Date: _________________________</w:t>
      </w:r>
    </w:p>
    <w:p>
      <w:pPr>
        <w:pStyle w:val="BodyText"/>
      </w:pPr>
      <w:r>
        <w:t xml:space="preserve">Company Seal:</w:t>
      </w:r>
    </w:p>
    <w:p>
      <w:pPr>
        <w:pStyle w:val="BodyText"/>
      </w:pPr>
      <w:r>
        <w:rPr>
          <w:bCs/>
          <w:b/>
        </w:rPr>
        <w:t xml:space="preserve">For the Client Organization</w:t>
      </w:r>
    </w:p>
    <w:p>
      <w:pPr>
        <w:pStyle w:val="BodyText"/>
      </w:pPr>
      <w:r>
        <w:t xml:space="preserve">Name: _________________________</w:t>
      </w:r>
    </w:p>
    <w:p>
      <w:pPr>
        <w:pStyle w:val="BodyText"/>
      </w:pPr>
      <w:r>
        <w:t xml:space="preserve">Title: _________________________</w:t>
      </w:r>
    </w:p>
    <w:p>
      <w:pPr>
        <w:pStyle w:val="BodyText"/>
      </w:pPr>
      <w:r>
        <w:t xml:space="preserve">Signature: _________________________</w:t>
      </w:r>
    </w:p>
    <w:p>
      <w:pPr>
        <w:pStyle w:val="BodyText"/>
      </w:pPr>
      <w:r>
        <w:t xml:space="preserve">Date: _________________________</w:t>
      </w:r>
    </w:p>
    <w:p>
      <w:pPr>
        <w:pStyle w:val="BodyText"/>
      </w:pPr>
      <w:r>
        <w:t xml:space="preserve">Company Seal:</w:t>
      </w:r>
    </w:p>
    <w:p>
      <w:pPr>
        <w:pStyle w:val="BodyText"/>
      </w:pPr>
      <w:r>
        <w:t xml:space="preserve">Meridian Talent Solutions LLC | INN: 7710123456 | OGRN: 1157746123456 | Moscow, Russia</w:t>
      </w:r>
    </w:p>
    <w:p>
      <w:pPr>
        <w:pStyle w:val="BodyText"/>
      </w:pPr>
      <w:r>
        <w:t xml:space="preserve">Document Ref: QE-RM-2025-04871 | Page 1 of 1 | This Quotation Estimate is valid until 12 September 2025</w:t>
      </w:r>
    </w:p>
    <w:p>
      <w:pPr>
        <w:pStyle w:val="BodyText"/>
      </w:pPr>
      <w:r>
        <w:t xml:space="preserve">For inquiries: hr-estimates@meridiantalent.ru | +7 (495) 123-4567</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Human Resources Manager - Russia Moscow</dc:title>
  <dc:creator/>
  <dc:language>en</dc:language>
  <cp:keywords/>
  <dcterms:created xsi:type="dcterms:W3CDTF">2026-10-10T08:35:16Z</dcterms:created>
  <dcterms:modified xsi:type="dcterms:W3CDTF">2026-10-10T08:35:16Z</dcterms:modified>
</cp:coreProperties>
</file>

<file path=docProps/custom.xml><?xml version="1.0" encoding="utf-8"?>
<Properties xmlns="http://schemas.openxmlformats.org/officeDocument/2006/custom-properties" xmlns:vt="http://schemas.openxmlformats.org/officeDocument/2006/docPropsVTypes"/>
</file>