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Position:</w:t>
      </w:r>
      <w:r>
        <w:t xml:space="preserve"> </w:t>
      </w:r>
      <w:r>
        <w:t xml:space="preserve">Human Resources Manager</w:t>
      </w:r>
    </w:p>
    <w:p>
      <w:pPr>
        <w:pStyle w:val="BodyText"/>
      </w:pPr>
      <w:r>
        <w:t xml:space="preserve">Location:</w:t>
      </w:r>
      <w:r>
        <w:t xml:space="preserve"> </w:t>
      </w:r>
      <w:r>
        <w:t xml:space="preserve">United Arab Emirates Dubai</w:t>
      </w:r>
    </w:p>
    <w:p>
      <w:pPr>
        <w:pStyle w:val="BodyText"/>
      </w:pPr>
      <w:r>
        <w:t xml:space="preserve">Official Estimate Document</w:t>
      </w:r>
    </w:p>
    <w:bookmarkEnd w:id="20"/>
    <w:p>
      <w:pPr>
        <w:pStyle w:val="BodyText"/>
      </w:pPr>
      <w:r>
        <w:rPr>
          <w:bCs/>
          <w:b/>
        </w:rPr>
        <w:t xml:space="preserve">Quotation No.:</w:t>
      </w:r>
      <w:r>
        <w:t xml:space="preserve"> </w:t>
      </w:r>
      <w:r>
        <w:t xml:space="preserve">QTE-DXB-2025-04872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Gulf Executive Talent Solutions LLC</w:t>
      </w:r>
      <w:r>
        <w:br/>
      </w:r>
      <w:r>
        <w:rPr>
          <w:bCs/>
          <w:b/>
        </w:rPr>
        <w:t xml:space="preserve">Office:</w:t>
      </w:r>
      <w:r>
        <w:t xml:space="preserve"> </w:t>
      </w:r>
      <w:r>
        <w:t xml:space="preserve">Level 24, Burj Khalifa, Downtown Dubai</w:t>
      </w:r>
      <w:r>
        <w:br/>
      </w:r>
      <w:r>
        <w:rPr>
          <w:bCs/>
          <w:b/>
        </w:rPr>
        <w:t xml:space="preserve">Contact:</w:t>
      </w:r>
      <w:r>
        <w:t xml:space="preserve"> </w:t>
      </w:r>
      <w:r>
        <w:t xml:space="preserve">+971 4 555 0192 | hr@gulfexecutive.ae</w:t>
      </w:r>
    </w:p>
    <w:p>
      <w:pPr>
        <w:pStyle w:val="BodyText"/>
      </w:pPr>
      <w:r>
        <w:rPr>
          <w:bCs/>
          <w:b/>
        </w:rPr>
        <w:t xml:space="preserve">Prepared For:</w:t>
      </w:r>
      <w:r>
        <w:t xml:space="preserve"> </w:t>
      </w:r>
      <w:r>
        <w:t xml:space="preserve">[Client Company Name]</w:t>
      </w:r>
      <w:r>
        <w:br/>
      </w:r>
      <w:r>
        <w:rPr>
          <w:bCs/>
          <w:b/>
        </w:rPr>
        <w:t xml:space="preserve">Client Ref:</w:t>
      </w:r>
      <w:r>
        <w:t xml:space="preserve"> </w:t>
      </w:r>
      <w:r>
        <w:t xml:space="preserve">CLT-2025-1138</w:t>
      </w:r>
      <w:r>
        <w:br/>
      </w:r>
      <w:r>
        <w:rPr>
          <w:bCs/>
          <w:b/>
        </w:rPr>
        <w:t xml:space="preserve">Department:</w:t>
      </w:r>
      <w:r>
        <w:t xml:space="preserve"> </w:t>
      </w:r>
      <w:r>
        <w:t xml:space="preserve">Corporate Human Resources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breakdown for the recruitment, onboarding, and first-year employment of a</w:t>
      </w:r>
      <w:r>
        <w:t xml:space="preserve"> </w:t>
      </w:r>
      <w:r>
        <w:t xml:space="preserve">Human Resources Manager</w:t>
      </w:r>
      <w:r>
        <w:t xml:space="preserve"> </w:t>
      </w:r>
      <w:r>
        <w:t xml:space="preserve">based in</w:t>
      </w:r>
      <w:r>
        <w:t xml:space="preserve"> </w:t>
      </w:r>
      <w:r>
        <w:t xml:space="preserve">United Arab Emirates Dubai</w:t>
      </w:r>
      <w:r>
        <w:t xml:space="preserve">. The estimate covers all associated costs including compensation, statutory benefits, visa processing, relocation support, and professional development allowances in full compliance with the UAE Labour Law (Federal Decree-Law No. 33 of 2021) and the Dubai Municipality employment regulations.</w:t>
      </w:r>
    </w:p>
    <w:bookmarkEnd w:id="21"/>
    <w:bookmarkStart w:id="22" w:name="position-summary"/>
    <w:p>
      <w:pPr>
        <w:pStyle w:val="Heading2"/>
      </w:pPr>
      <w:r>
        <w:t xml:space="preserve">2. Position Summary</w:t>
      </w:r>
    </w:p>
    <w:p>
      <w:pPr>
        <w:pStyle w:val="FirstParagraph"/>
      </w:pPr>
      <w:r>
        <w:t xml:space="preserve">The</w:t>
      </w:r>
      <w:r>
        <w:t xml:space="preserve"> </w:t>
      </w:r>
      <w:r>
        <w:t xml:space="preserve">Human Resources Manager</w:t>
      </w:r>
      <w:r>
        <w:t xml:space="preserve"> </w:t>
      </w:r>
      <w:r>
        <w:t xml:space="preserve">will be responsible for overseeing all human capital functions within the client organisation operating in</w:t>
      </w:r>
      <w:r>
        <w:t xml:space="preserve"> </w:t>
      </w:r>
      <w:r>
        <w:t xml:space="preserve">United Arab Emirates Dubai</w:t>
      </w:r>
      <w:r>
        <w:t xml:space="preserve">. Key responsibilities include workforce planning, employee relations, compensation and benefits administration, compliance with UAE labour legislation, performance management systems, talent acquisition strategy, and organisational development. The role requires a minimum of eight (8) years of progressive HR experience, with at least three (3) years in a senior HR leadership capacity within the UAE or GCC region. A bachelor's degree in Human Resource Management, Business Administration, or a related discipline is mandatory, and a master's degree or professional HR certification (SHRM-SCP, CIPD, or equivalent) is strongly preferred.</w:t>
      </w:r>
    </w:p>
    <w:bookmarkEnd w:id="22"/>
    <w:bookmarkStart w:id="23" w:name="detailed-cost-breakdown-annual"/>
    <w:p>
      <w:pPr>
        <w:pStyle w:val="Heading2"/>
      </w:pPr>
      <w:r>
        <w:t xml:space="preserve">3. Detailed Cost Breakdown – Annual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Cost Item</w:t>
            </w:r>
          </w:p>
        </w:tc>
        <w:tc>
          <w:tcPr/>
          <w:p>
            <w:pPr>
              <w:pStyle w:val="Compact"/>
              <w:jc w:val="left"/>
            </w:pPr>
            <w:r>
              <w:t xml:space="preserve">Description</w:t>
            </w:r>
          </w:p>
        </w:tc>
        <w:tc>
          <w:tcPr/>
          <w:p>
            <w:pPr>
              <w:pStyle w:val="Compact"/>
              <w:jc w:val="left"/>
            </w:pPr>
            <w:r>
              <w:t xml:space="preserve">Amount (AED)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Base Monthly Salary</w:t>
            </w:r>
          </w:p>
        </w:tc>
        <w:tc>
          <w:tcPr/>
          <w:p>
            <w:pPr>
              <w:pStyle w:val="Compact"/>
              <w:jc w:val="left"/>
            </w:pPr>
            <w:r>
              <w:t xml:space="preserve">25,000 AED × 12 months</w:t>
            </w:r>
          </w:p>
        </w:tc>
        <w:tc>
          <w:tcPr/>
          <w:p>
            <w:pPr>
              <w:pStyle w:val="Compact"/>
              <w:jc w:val="left"/>
            </w:pPr>
            <w:r>
              <w:t xml:space="preserve">300,000</w:t>
            </w:r>
          </w:p>
        </w:tc>
        <w:tc>
          <w:tcPr/>
          <w:p>
            <w:pPr>
              <w:pStyle w:val="Compact"/>
              <w:jc w:val="left"/>
            </w:pPr>
            <w:r>
              <w:t xml:space="preserve">81,507</w:t>
            </w:r>
          </w:p>
        </w:tc>
      </w:tr>
      <w:tr>
        <w:tc>
          <w:tcPr/>
          <w:p>
            <w:pPr>
              <w:pStyle w:val="Compact"/>
              <w:jc w:val="left"/>
            </w:pPr>
            <w:r>
              <w:t xml:space="preserve">2</w:t>
            </w:r>
          </w:p>
        </w:tc>
        <w:tc>
          <w:tcPr/>
          <w:p>
            <w:pPr>
              <w:pStyle w:val="Compact"/>
              <w:jc w:val="left"/>
            </w:pPr>
            <w:r>
              <w:t xml:space="preserve">Annual Performance Bonus</w:t>
            </w:r>
          </w:p>
        </w:tc>
        <w:tc>
          <w:tcPr/>
          <w:p>
            <w:pPr>
              <w:pStyle w:val="Compact"/>
              <w:jc w:val="left"/>
            </w:pPr>
            <w:r>
              <w:t xml:space="preserve">15% of base salary (target)</w:t>
            </w:r>
          </w:p>
        </w:tc>
        <w:tc>
          <w:tcPr/>
          <w:p>
            <w:pPr>
              <w:pStyle w:val="Compact"/>
              <w:jc w:val="left"/>
            </w:pPr>
            <w:r>
              <w:t xml:space="preserve">45,000</w:t>
            </w:r>
          </w:p>
        </w:tc>
        <w:tc>
          <w:tcPr/>
          <w:p>
            <w:pPr>
              <w:pStyle w:val="Compact"/>
              <w:jc w:val="left"/>
            </w:pPr>
            <w:r>
              <w:t xml:space="preserve">12,226</w:t>
            </w:r>
          </w:p>
        </w:tc>
      </w:tr>
      <w:tr>
        <w:tc>
          <w:tcPr/>
          <w:p>
            <w:pPr>
              <w:pStyle w:val="Compact"/>
              <w:jc w:val="left"/>
            </w:pPr>
            <w:r>
              <w:t xml:space="preserve">3</w:t>
            </w:r>
          </w:p>
        </w:tc>
        <w:tc>
          <w:tcPr/>
          <w:p>
            <w:pPr>
              <w:pStyle w:val="Compact"/>
              <w:jc w:val="left"/>
            </w:pPr>
            <w:r>
              <w:t xml:space="preserve">Health Insurance Premium</w:t>
            </w:r>
          </w:p>
        </w:tc>
        <w:tc>
          <w:tcPr/>
          <w:p>
            <w:pPr>
              <w:pStyle w:val="Compact"/>
              <w:jc w:val="left"/>
            </w:pPr>
            <w:r>
              <w:t xml:space="preserve">Comprehensive DHA-approved plan (self + family)</w:t>
            </w:r>
          </w:p>
        </w:tc>
        <w:tc>
          <w:tcPr/>
          <w:p>
            <w:pPr>
              <w:pStyle w:val="Compact"/>
              <w:jc w:val="left"/>
            </w:pPr>
            <w:r>
              <w:t xml:space="preserve">28,000</w:t>
            </w:r>
          </w:p>
        </w:tc>
        <w:tc>
          <w:tcPr/>
          <w:p>
            <w:pPr>
              <w:pStyle w:val="Compact"/>
              <w:jc w:val="left"/>
            </w:pPr>
            <w:r>
              <w:t xml:space="preserve">7,619</w:t>
            </w:r>
          </w:p>
        </w:tc>
      </w:tr>
      <w:tr>
        <w:tc>
          <w:tcPr/>
          <w:p>
            <w:pPr>
              <w:pStyle w:val="Compact"/>
              <w:jc w:val="left"/>
            </w:pPr>
            <w:r>
              <w:t xml:space="preserve">4</w:t>
            </w:r>
          </w:p>
        </w:tc>
        <w:tc>
          <w:tcPr/>
          <w:p>
            <w:pPr>
              <w:pStyle w:val="Compact"/>
              <w:jc w:val="left"/>
            </w:pPr>
            <w:r>
              <w:t xml:space="preserve">Annual Airfare Allowance</w:t>
            </w:r>
          </w:p>
        </w:tc>
        <w:tc>
          <w:tcPr/>
          <w:p>
            <w:pPr>
              <w:pStyle w:val="Compact"/>
              <w:jc w:val="left"/>
            </w:pPr>
            <w:r>
              <w:t xml:space="preserve">Business class, home country (2 tickets)</w:t>
            </w:r>
          </w:p>
        </w:tc>
        <w:tc>
          <w:tcPr/>
          <w:p>
            <w:pPr>
              <w:pStyle w:val="Compact"/>
              <w:jc w:val="left"/>
            </w:pPr>
            <w:r>
              <w:t xml:space="preserve">22,000</w:t>
            </w:r>
          </w:p>
        </w:tc>
        <w:tc>
          <w:tcPr/>
          <w:p>
            <w:pPr>
              <w:pStyle w:val="Compact"/>
              <w:jc w:val="left"/>
            </w:pPr>
            <w:r>
              <w:t xml:space="preserve">5,990</w:t>
            </w:r>
          </w:p>
        </w:tc>
      </w:tr>
      <w:tr>
        <w:tc>
          <w:tcPr/>
          <w:p>
            <w:pPr>
              <w:pStyle w:val="Compact"/>
              <w:jc w:val="left"/>
            </w:pPr>
            <w:r>
              <w:t xml:space="preserve">5</w:t>
            </w:r>
          </w:p>
        </w:tc>
        <w:tc>
          <w:tcPr/>
          <w:p>
            <w:pPr>
              <w:pStyle w:val="Compact"/>
              <w:jc w:val="left"/>
            </w:pPr>
            <w:r>
              <w:t xml:space="preserve">Relocation Package (One-time)</w:t>
            </w:r>
          </w:p>
        </w:tc>
        <w:tc>
          <w:tcPr/>
          <w:p>
            <w:pPr>
              <w:pStyle w:val="Compact"/>
              <w:jc w:val="left"/>
            </w:pPr>
            <w:r>
              <w:t xml:space="preserve">Shipping, temporary accommodation (3 months)</w:t>
            </w:r>
          </w:p>
        </w:tc>
        <w:tc>
          <w:tcPr/>
          <w:p>
            <w:pPr>
              <w:pStyle w:val="Compact"/>
              <w:jc w:val="left"/>
            </w:pPr>
            <w:r>
              <w:t xml:space="preserve">45,000</w:t>
            </w:r>
          </w:p>
        </w:tc>
        <w:tc>
          <w:tcPr/>
          <w:p>
            <w:pPr>
              <w:pStyle w:val="Compact"/>
              <w:jc w:val="left"/>
            </w:pPr>
            <w:r>
              <w:t xml:space="preserve">12,226</w:t>
            </w:r>
          </w:p>
        </w:tc>
      </w:tr>
      <w:tr>
        <w:tc>
          <w:tcPr/>
          <w:p>
            <w:pPr>
              <w:pStyle w:val="Compact"/>
              <w:jc w:val="left"/>
            </w:pPr>
            <w:r>
              <w:t xml:space="preserve">6</w:t>
            </w:r>
          </w:p>
        </w:tc>
        <w:tc>
          <w:tcPr/>
          <w:p>
            <w:pPr>
              <w:pStyle w:val="Compact"/>
              <w:jc w:val="left"/>
            </w:pPr>
            <w:r>
              <w:t xml:space="preserve">Visa &amp; Work Permit Processing</w:t>
            </w:r>
          </w:p>
        </w:tc>
        <w:tc>
          <w:tcPr/>
          <w:p>
            <w:pPr>
              <w:pStyle w:val="Compact"/>
              <w:jc w:val="left"/>
            </w:pPr>
            <w:r>
              <w:t xml:space="preserve">UAE residence visa, Emirates ID, medical</w:t>
            </w:r>
          </w:p>
        </w:tc>
        <w:tc>
          <w:tcPr/>
          <w:p>
            <w:pPr>
              <w:pStyle w:val="Compact"/>
              <w:jc w:val="left"/>
            </w:pPr>
            <w:r>
              <w:t xml:space="preserve">8,500</w:t>
            </w:r>
          </w:p>
        </w:tc>
        <w:tc>
          <w:tcPr/>
          <w:p>
            <w:pPr>
              <w:pStyle w:val="Compact"/>
              <w:jc w:val="left"/>
            </w:pPr>
            <w:r>
              <w:t xml:space="preserve">2,310</w:t>
            </w:r>
          </w:p>
        </w:tc>
      </w:tr>
      <w:tr>
        <w:tc>
          <w:tcPr/>
          <w:p>
            <w:pPr>
              <w:pStyle w:val="Compact"/>
              <w:jc w:val="left"/>
            </w:pPr>
            <w:r>
              <w:t xml:space="preserve">7</w:t>
            </w:r>
          </w:p>
        </w:tc>
        <w:tc>
          <w:tcPr/>
          <w:p>
            <w:pPr>
              <w:pStyle w:val="Compact"/>
              <w:jc w:val="left"/>
            </w:pPr>
            <w:r>
              <w:t xml:space="preserve">Education Allowance</w:t>
            </w:r>
          </w:p>
        </w:tc>
        <w:tc>
          <w:tcPr/>
          <w:p>
            <w:pPr>
              <w:pStyle w:val="Compact"/>
              <w:jc w:val="left"/>
            </w:pPr>
            <w:r>
              <w:t xml:space="preserve">Children's schooling (2 children, private school)</w:t>
            </w:r>
          </w:p>
        </w:tc>
        <w:tc>
          <w:tcPr/>
          <w:p>
            <w:pPr>
              <w:pStyle w:val="Compact"/>
              <w:jc w:val="left"/>
            </w:pPr>
            <w:r>
              <w:t xml:space="preserve">60,000</w:t>
            </w:r>
          </w:p>
        </w:tc>
        <w:tc>
          <w:tcPr/>
          <w:p>
            <w:pPr>
              <w:pStyle w:val="Compact"/>
              <w:jc w:val="left"/>
            </w:pPr>
            <w:r>
              <w:t xml:space="preserve">16,296</w:t>
            </w:r>
          </w:p>
        </w:tc>
      </w:tr>
      <w:tr>
        <w:tc>
          <w:tcPr/>
          <w:p>
            <w:pPr>
              <w:pStyle w:val="Compact"/>
              <w:jc w:val="left"/>
            </w:pPr>
            <w:r>
              <w:t xml:space="preserve">8</w:t>
            </w:r>
          </w:p>
        </w:tc>
        <w:tc>
          <w:tcPr/>
          <w:p>
            <w:pPr>
              <w:pStyle w:val="Compact"/>
              <w:jc w:val="left"/>
            </w:pPr>
            <w:r>
              <w:t xml:space="preserve">Transportation Allowance</w:t>
            </w:r>
          </w:p>
        </w:tc>
        <w:tc>
          <w:tcPr/>
          <w:p>
            <w:pPr>
              <w:pStyle w:val="Compact"/>
              <w:jc w:val="left"/>
            </w:pPr>
            <w:r>
              <w:t xml:space="preserve">Company car or monthly transport stipend</w:t>
            </w:r>
          </w:p>
        </w:tc>
        <w:tc>
          <w:tcPr/>
          <w:p>
            <w:pPr>
              <w:pStyle w:val="Compact"/>
              <w:jc w:val="left"/>
            </w:pPr>
            <w:r>
              <w:t xml:space="preserve">18,000</w:t>
            </w:r>
          </w:p>
        </w:tc>
        <w:tc>
          <w:tcPr/>
          <w:p>
            <w:pPr>
              <w:pStyle w:val="Compact"/>
              <w:jc w:val="left"/>
            </w:pPr>
            <w:r>
              <w:t xml:space="preserve">4,908</w:t>
            </w:r>
          </w:p>
        </w:tc>
      </w:tr>
      <w:tr>
        <w:tc>
          <w:tcPr/>
          <w:p>
            <w:pPr>
              <w:pStyle w:val="Compact"/>
              <w:jc w:val="left"/>
            </w:pPr>
            <w:r>
              <w:t xml:space="preserve">9</w:t>
            </w:r>
          </w:p>
        </w:tc>
        <w:tc>
          <w:tcPr/>
          <w:p>
            <w:pPr>
              <w:pStyle w:val="Compact"/>
              <w:jc w:val="left"/>
            </w:pPr>
            <w:r>
              <w:t xml:space="preserve">Professional Development &amp; Training</w:t>
            </w:r>
          </w:p>
        </w:tc>
        <w:tc>
          <w:tcPr/>
          <w:p>
            <w:pPr>
              <w:pStyle w:val="Compact"/>
              <w:jc w:val="left"/>
            </w:pPr>
            <w:r>
              <w:t xml:space="preserve">HR certifications, conferences, workshops</w:t>
            </w:r>
          </w:p>
        </w:tc>
        <w:tc>
          <w:tcPr/>
          <w:p>
            <w:pPr>
              <w:pStyle w:val="Compact"/>
              <w:jc w:val="left"/>
            </w:pPr>
            <w:r>
              <w:t xml:space="preserve">12,000</w:t>
            </w:r>
          </w:p>
        </w:tc>
        <w:tc>
          <w:tcPr/>
          <w:p>
            <w:pPr>
              <w:pStyle w:val="Compact"/>
              <w:jc w:val="left"/>
            </w:pPr>
            <w:r>
              <w:t xml:space="preserve">3,272</w:t>
            </w:r>
          </w:p>
        </w:tc>
      </w:tr>
      <w:tr>
        <w:tc>
          <w:tcPr/>
          <w:p>
            <w:pPr>
              <w:pStyle w:val="Compact"/>
              <w:jc w:val="left"/>
            </w:pPr>
            <w:r>
              <w:t xml:space="preserve">10</w:t>
            </w:r>
          </w:p>
        </w:tc>
        <w:tc>
          <w:tcPr/>
          <w:p>
            <w:pPr>
              <w:pStyle w:val="Compact"/>
              <w:jc w:val="left"/>
            </w:pPr>
            <w:r>
              <w:t xml:space="preserve">End-of-Service Gratuity Provision</w:t>
            </w:r>
          </w:p>
        </w:tc>
        <w:tc>
          <w:tcPr/>
          <w:p>
            <w:pPr>
              <w:pStyle w:val="Compact"/>
              <w:jc w:val="left"/>
            </w:pPr>
            <w:r>
              <w:t xml:space="preserve">Accrued per UAE Labour Law (Year 1)</w:t>
            </w:r>
          </w:p>
        </w:tc>
        <w:tc>
          <w:tcPr/>
          <w:p>
            <w:pPr>
              <w:pStyle w:val="Compact"/>
              <w:jc w:val="left"/>
            </w:pPr>
            <w:r>
              <w:t xml:space="preserve">25,000</w:t>
            </w:r>
          </w:p>
        </w:tc>
        <w:tc>
          <w:tcPr/>
          <w:p>
            <w:pPr>
              <w:pStyle w:val="Compact"/>
              <w:jc w:val="left"/>
            </w:pPr>
            <w:r>
              <w:t xml:space="preserve">6,804</w:t>
            </w:r>
          </w:p>
        </w:tc>
      </w:tr>
      <w:tr>
        <w:tc>
          <w:tcPr/>
          <w:p>
            <w:pPr>
              <w:pStyle w:val="Compact"/>
              <w:jc w:val="left"/>
            </w:pPr>
            <w:r>
              <w:t xml:space="preserve">11</w:t>
            </w:r>
          </w:p>
        </w:tc>
        <w:tc>
          <w:tcPr/>
          <w:p>
            <w:pPr>
              <w:pStyle w:val="Compact"/>
              <w:jc w:val="left"/>
            </w:pPr>
            <w:r>
              <w:t xml:space="preserve">Recruitment &amp; Placement Fee</w:t>
            </w:r>
          </w:p>
        </w:tc>
        <w:tc>
          <w:tcPr/>
          <w:p>
            <w:pPr>
              <w:pStyle w:val="Compact"/>
              <w:jc w:val="left"/>
            </w:pPr>
            <w:r>
              <w:t xml:space="preserve">18% of first-year base salary (one-time)</w:t>
            </w:r>
          </w:p>
        </w:tc>
        <w:tc>
          <w:tcPr/>
          <w:p>
            <w:pPr>
              <w:pStyle w:val="Compact"/>
              <w:jc w:val="left"/>
            </w:pPr>
            <w:r>
              <w:t xml:space="preserve">54,000</w:t>
            </w:r>
          </w:p>
        </w:tc>
        <w:tc>
          <w:tcPr/>
          <w:p>
            <w:pPr>
              <w:pStyle w:val="Compact"/>
              <w:jc w:val="left"/>
            </w:pPr>
            <w:r>
              <w:t xml:space="preserve">14,671</w:t>
            </w:r>
          </w:p>
        </w:tc>
      </w:tr>
      <w:tr>
        <w:tc>
          <w:tcPr/>
          <w:p>
            <w:pPr>
              <w:pStyle w:val="Compact"/>
              <w:jc w:val="left"/>
            </w:pPr>
            <w:r>
              <w:t xml:space="preserve">12</w:t>
            </w:r>
          </w:p>
        </w:tc>
        <w:tc>
          <w:tcPr/>
          <w:p>
            <w:pPr>
              <w:pStyle w:val="Compact"/>
              <w:jc w:val="left"/>
            </w:pPr>
            <w:r>
              <w:t xml:space="preserve">Employer WPS &amp; GOSI Compliance</w:t>
            </w:r>
          </w:p>
        </w:tc>
        <w:tc>
          <w:tcPr/>
          <w:p>
            <w:pPr>
              <w:pStyle w:val="Compact"/>
              <w:jc w:val="left"/>
            </w:pPr>
            <w:r>
              <w:t xml:space="preserve">Wage Protection System registration, filings</w:t>
            </w:r>
          </w:p>
        </w:tc>
        <w:tc>
          <w:tcPr/>
          <w:p>
            <w:pPr>
              <w:pStyle w:val="Compact"/>
              <w:jc w:val="left"/>
            </w:pPr>
            <w:r>
              <w:t xml:space="preserve">3,500</w:t>
            </w:r>
          </w:p>
        </w:tc>
        <w:tc>
          <w:tcPr/>
          <w:p>
            <w:pPr>
              <w:pStyle w:val="Compact"/>
              <w:jc w:val="left"/>
            </w:pPr>
            <w:r>
              <w:t xml:space="preserve">952</w:t>
            </w:r>
          </w:p>
        </w:tc>
      </w:tr>
      <w:tr>
        <w:tc>
          <w:tcPr>
            <w:gridSpan w:val="3"/>
          </w:tcPr>
          <w:p>
            <w:pPr>
              <w:pStyle w:val="Compact"/>
              <w:jc w:val="left"/>
            </w:pPr>
            <w:r>
              <w:t xml:space="preserve">TOTAL ESTIMATED ANNUAL COST</w:t>
            </w:r>
          </w:p>
        </w:tc>
        <w:tc>
          <w:tcPr/>
          <w:p>
            <w:pPr>
              <w:pStyle w:val="Compact"/>
              <w:jc w:val="left"/>
            </w:pPr>
            <w:r>
              <w:t xml:space="preserve">621,000 AED</w:t>
            </w:r>
          </w:p>
        </w:tc>
        <w:tc>
          <w:tcPr/>
          <w:p>
            <w:pPr>
              <w:pStyle w:val="Compact"/>
              <w:jc w:val="left"/>
            </w:pPr>
            <w:r>
              <w:t xml:space="preserve">169,581 USD</w:t>
            </w:r>
          </w:p>
        </w:tc>
      </w:tr>
    </w:tbl>
    <w:bookmarkEnd w:id="23"/>
    <w:bookmarkStart w:id="24" w:name="X79877a4bdbe48533e1b2d4e019f169839fb71ff"/>
    <w:p>
      <w:pPr>
        <w:pStyle w:val="Heading2"/>
      </w:pPr>
      <w:r>
        <w:t xml:space="preserve">4. Additional Notes on the Human Resources Manager Role</w:t>
      </w:r>
    </w:p>
    <w:p>
      <w:pPr>
        <w:pStyle w:val="FirstParagraph"/>
      </w:pPr>
      <w:r>
        <w:t xml:space="preserve">The</w:t>
      </w:r>
      <w:r>
        <w:t xml:space="preserve"> </w:t>
      </w:r>
      <w:r>
        <w:t xml:space="preserve">Human Resources Manager</w:t>
      </w:r>
      <w:r>
        <w:t xml:space="preserve"> </w:t>
      </w:r>
      <w:r>
        <w:t xml:space="preserve">will report directly to the Chief Operating Officer or the Board of Directors, depending on the organisational structure of the client entity in</w:t>
      </w:r>
      <w:r>
        <w:t xml:space="preserve"> </w:t>
      </w:r>
      <w:r>
        <w:t xml:space="preserve">United Arab Emirates Dubai</w:t>
      </w:r>
      <w:r>
        <w:t xml:space="preserve">. The candidate must demonstrate fluency in English and Arabic (Arabic is considered a significant advantage for this role). The position is full-time, based at the client's principal office in Dubai, with an expected working week of 48 hours (Sunday to Thursday) in accordance with standard UAE business practice. The</w:t>
      </w:r>
      <w:r>
        <w:t xml:space="preserve"> </w:t>
      </w:r>
      <w:r>
        <w:t xml:space="preserve">Human Resources Manager</w:t>
      </w:r>
      <w:r>
        <w:t xml:space="preserve"> </w:t>
      </w:r>
      <w:r>
        <w:t xml:space="preserve">will be expected to lead a team of no fewer than five (5) HR specialists and coordinate with all departmental heads across the organisation.</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costs incurred after the validity period may be subject to revision based on prevailing market rates in</w:t>
      </w:r>
      <w:r>
        <w:t xml:space="preserve"> </w:t>
      </w:r>
      <w:r>
        <w:t xml:space="preserve">United Arab Emirates Dubai</w:t>
      </w:r>
      <w:r>
        <w:t xml:space="preserve">.</w:t>
      </w:r>
    </w:p>
    <w:p>
      <w:pPr>
        <w:numPr>
          <w:ilvl w:val="0"/>
          <w:numId w:val="1001"/>
        </w:numPr>
        <w:pStyle w:val="Compact"/>
      </w:pPr>
      <w:r>
        <w:t xml:space="preserve">All monetary figures are quoted in United Arab Emirates Dirhams (AED) with approximate US Dollar (USD) equivalents provided for reference only. The AED figure shall prevail in the event of any discrepancy.</w:t>
      </w:r>
    </w:p>
    <w:p>
      <w:pPr>
        <w:numPr>
          <w:ilvl w:val="0"/>
          <w:numId w:val="1001"/>
        </w:numPr>
        <w:pStyle w:val="Compact"/>
      </w:pPr>
      <w:r>
        <w:t xml:space="preserve">The recruitment and placement fee is payable in two instalments: 50% upon successful candidate acceptance and 50% upon the candidate's first day of employment.</w:t>
      </w:r>
    </w:p>
    <w:p>
      <w:pPr>
        <w:numPr>
          <w:ilvl w:val="0"/>
          <w:numId w:val="1001"/>
        </w:numPr>
        <w:pStyle w:val="Compact"/>
      </w:pPr>
      <w:r>
        <w:t xml:space="preserve">This estimate does not include corporate tax obligations. The client is responsible for any applicable UAE Corporate Tax (9% on taxable income exceeding AED 375,000) as per Federal Decree-Law No. 47 of 2022.</w:t>
      </w:r>
    </w:p>
    <w:p>
      <w:pPr>
        <w:numPr>
          <w:ilvl w:val="0"/>
          <w:numId w:val="1001"/>
        </w:numPr>
        <w:pStyle w:val="Compact"/>
      </w:pPr>
      <w:r>
        <w:t xml:space="preserve">The</w:t>
      </w:r>
      <w:r>
        <w:t xml:space="preserve"> </w:t>
      </w:r>
      <w:r>
        <w:t xml:space="preserve">Human Resources Manager</w:t>
      </w:r>
      <w:r>
        <w:t xml:space="preserve"> </w:t>
      </w:r>
      <w:r>
        <w:t xml:space="preserve">engagement is subject to a probationary period of not more than six (6) months as stipulated under UAE Labour Law.</w:t>
      </w:r>
    </w:p>
    <w:p>
      <w:pPr>
        <w:numPr>
          <w:ilvl w:val="0"/>
          <w:numId w:val="1001"/>
        </w:numPr>
        <w:pStyle w:val="Compact"/>
      </w:pPr>
      <w:r>
        <w:t xml:space="preserve">All visa, medical, and Emirates ID processing times are estimates and may vary based on government processing schedules in Dubai.</w:t>
      </w:r>
    </w:p>
    <w:p>
      <w:pPr>
        <w:numPr>
          <w:ilvl w:val="0"/>
          <w:numId w:val="1001"/>
        </w:numPr>
        <w:pStyle w:val="Compact"/>
      </w:pPr>
      <w:r>
        <w:t xml:space="preserve">This</w:t>
      </w:r>
      <w:r>
        <w:t xml:space="preserve"> </w:t>
      </w:r>
      <w:r>
        <w:t xml:space="preserve">Quotation Estimate</w:t>
      </w:r>
      <w:r>
        <w:t xml:space="preserve"> </w:t>
      </w:r>
      <w:r>
        <w:t xml:space="preserve">is confidential and intended solely for the named client. It may not be reproduced or distributed without prior written consent from Gulf Executive Talent Solutions LLC.</w:t>
      </w:r>
    </w:p>
    <w:p>
      <w:pPr>
        <w:numPr>
          <w:ilvl w:val="0"/>
          <w:numId w:val="1001"/>
        </w:numPr>
        <w:pStyle w:val="Compact"/>
      </w:pPr>
      <w:r>
        <w:t xml:space="preserve">Any amendments to the scope of the</w:t>
      </w:r>
      <w:r>
        <w:t xml:space="preserve"> </w:t>
      </w:r>
      <w:r>
        <w:t xml:space="preserve">Human Resources Manager</w:t>
      </w:r>
      <w:r>
        <w:t xml:space="preserve"> </w:t>
      </w:r>
      <w:r>
        <w:t xml:space="preserve">role or the employment terms must be documented in a formal addendum to this estimate.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recruitment and employment of the</w:t>
      </w:r>
      <w:r>
        <w:t xml:space="preserve"> </w:t>
      </w:r>
      <w:r>
        <w:t xml:space="preserve">Human Resources Manager</w:t>
      </w:r>
      <w:r>
        <w:t xml:space="preserve"> </w:t>
      </w:r>
      <w:r>
        <w:t xml:space="preserve">in</w:t>
      </w:r>
      <w:r>
        <w:t xml:space="preserve"> </w:t>
      </w:r>
      <w:r>
        <w:t xml:space="preserve">United Arab Emirates Dubai</w:t>
      </w:r>
      <w:r>
        <w:t xml:space="preserve">.</w:t>
      </w:r>
    </w:p>
    <w:p>
      <w:pPr>
        <w:pStyle w:val="BodyText"/>
      </w:pPr>
      <w:r>
        <w:rPr>
          <w:bCs/>
          <w:b/>
        </w:rPr>
        <w:t xml:space="preserve">For Gulf Executive Talent Solutions LLC</w:t>
      </w:r>
      <w:r>
        <w:br/>
      </w:r>
      <w:r>
        <w:t xml:space="preserve">Authorised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Authorised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Gulf Executive Talent Solutions LLC | Trade License No. 1048723 | Dubai, United Arab Emirates</w:t>
      </w:r>
    </w:p>
    <w:p>
      <w:pPr>
        <w:pStyle w:val="BodyText"/>
      </w:pPr>
      <w:r>
        <w:t xml:space="preserve">Level 24, Burj Khalifa, Downtown Dubai, P.O. Box 38921 | Tel: +971 4 555 0192 | Email: hr@gulfexecutive.ae</w:t>
      </w:r>
    </w:p>
    <w:p>
      <w:pPr>
        <w:pStyle w:val="BodyText"/>
      </w:pPr>
      <w:r>
        <w:t xml:space="preserve">This Quotation Estimate document was generated electronically and is valid without a physical stamp. Document Ref: QTE-DXB-2025-04872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Arab Emirates Dubai</dc:title>
  <dc:creator/>
  <dc:language>en</dc:language>
  <cp:keywords/>
  <dcterms:created xsi:type="dcterms:W3CDTF">2026-10-10T10:20:57Z</dcterms:created>
  <dcterms:modified xsi:type="dcterms:W3CDTF">2026-10-10T10:20:57Z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