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Apex Industrial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quotations@apexindustrialbd.com</w:t>
      </w:r>
    </w:p>
    <w:p>
      <w:pPr>
        <w:pStyle w:val="BodyText"/>
      </w:pPr>
      <w:r>
        <w:t xml:space="preserve">Trade License No: BD-DHK-2024-00871 | VAT Reg: 001234567-0101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QTE-2025-0417-BD</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Rafiqul Islam, Operations Director, Dhaka Textile Mills Ltd., 88 Tejgaon I/A,</w:t>
            </w:r>
            <w:r>
              <w:t xml:space="preserve"> </w:t>
            </w:r>
            <w:r>
              <w:t xml:space="preserve">Bangladesh Dhaka</w:t>
            </w:r>
            <w:r>
              <w:t xml:space="preserve"> </w:t>
            </w:r>
            <w:r>
              <w:t xml:space="preserve">1208</w:t>
            </w:r>
          </w:p>
        </w:tc>
      </w:tr>
      <w:tr>
        <w:tc>
          <w:tcPr/>
          <w:p>
            <w:pPr>
              <w:pStyle w:val="Compact"/>
              <w:jc w:val="left"/>
            </w:pPr>
            <w:r>
              <w:t xml:space="preserve">Project Reference</w:t>
            </w:r>
          </w:p>
        </w:tc>
        <w:tc>
          <w:tcPr/>
          <w:p>
            <w:pPr>
              <w:pStyle w:val="Compact"/>
              <w:jc w:val="left"/>
            </w:pPr>
            <w:r>
              <w:t xml:space="preserve">Factory Floor Optimization &amp; Process Engineering – Phase II</w:t>
            </w:r>
          </w:p>
        </w:tc>
      </w:tr>
      <w:tr>
        <w:tc>
          <w:tcPr/>
          <w:p>
            <w:pPr>
              <w:pStyle w:val="Compact"/>
              <w:jc w:val="left"/>
            </w:pPr>
            <w:r>
              <w:t xml:space="preserve">Prepared By</w:t>
            </w:r>
          </w:p>
        </w:tc>
        <w:tc>
          <w:tcPr/>
          <w:p>
            <w:pPr>
              <w:pStyle w:val="Compact"/>
              <w:jc w:val="left"/>
            </w:pPr>
            <w:r>
              <w:t xml:space="preserve">Eng. Farhana Akter, Senior</w:t>
            </w:r>
            <w:r>
              <w:t xml:space="preserve"> </w:t>
            </w:r>
            <w:r>
              <w:t xml:space="preserve">Industrial Engineer</w:t>
            </w:r>
            <w:r>
              <w:t xml:space="preserve">, P.E. License No. BD-IE-2019-0342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Apex Industrial Solutions Ltd. to provide a comprehensive, itemized cost breakdown for the engagement of a qualified</w:t>
      </w:r>
      <w:r>
        <w:t xml:space="preserve"> </w:t>
      </w:r>
      <w:r>
        <w:t xml:space="preserve">Industrial Engineer</w:t>
      </w:r>
      <w:r>
        <w:t xml:space="preserve"> </w:t>
      </w:r>
      <w:r>
        <w:t xml:space="preserve">to deliver process optimization, workflow redesign, and operational efficiency services at the client's manufacturing facility located in</w:t>
      </w:r>
      <w:r>
        <w:t xml:space="preserve"> </w:t>
      </w:r>
      <w:r>
        <w:t xml:space="preserve">Bangladesh Dhaka</w:t>
      </w:r>
      <w:r>
        <w:t xml:space="preserve">. The scope encompasses on-site assessment, data collection, time-and-motion studies, layout redesign, and the preparation of actionable engineering reports. All rates quoted herein reflect current market conditions in</w:t>
      </w:r>
      <w:r>
        <w:t xml:space="preserve"> </w:t>
      </w:r>
      <w:r>
        <w:t xml:space="preserve">Bangladesh Dhaka</w:t>
      </w:r>
      <w:r>
        <w:t xml:space="preserve"> </w:t>
      </w:r>
      <w:r>
        <w:t xml:space="preserve">as of June 2025 and are denominated in Bangladeshi Taka (BDT).</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survey and baseline data collection by a certified</w:t>
            </w:r>
            <w:r>
              <w:t xml:space="preserve"> </w:t>
            </w:r>
            <w:r>
              <w:t xml:space="preserve">Industrial Engineer</w:t>
            </w:r>
            <w:r>
              <w:t xml:space="preserve"> </w:t>
            </w:r>
            <w:r>
              <w:t xml:space="preserve">at the Dhaka facility</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Time-and-motion study across 12 production workstations; preparation of standard time tables</w:t>
            </w:r>
          </w:p>
        </w:tc>
        <w:tc>
          <w:tcPr/>
          <w:p>
            <w:pPr>
              <w:pStyle w:val="Compact"/>
              <w:jc w:val="left"/>
            </w:pPr>
            <w:r>
              <w:t xml:space="preserve">5 days</w:t>
            </w:r>
          </w:p>
        </w:tc>
        <w:tc>
          <w:tcPr/>
          <w:p>
            <w:pPr>
              <w:pStyle w:val="Compact"/>
              <w:jc w:val="left"/>
            </w:pPr>
            <w:r>
              <w:t xml:space="preserve">28,000</w:t>
            </w:r>
          </w:p>
        </w:tc>
        <w:tc>
          <w:tcPr/>
          <w:p>
            <w:pPr>
              <w:pStyle w:val="Compact"/>
              <w:jc w:val="left"/>
            </w:pPr>
            <w:r>
              <w:t xml:space="preserve">140,000</w:t>
            </w:r>
          </w:p>
        </w:tc>
        <w:tc>
          <w:tcPr/>
          <w:p>
            <w:pPr>
              <w:pStyle w:val="Compact"/>
              <w:jc w:val="left"/>
            </w:pPr>
            <w:r>
              <w:t xml:space="preserve">Week 2</w:t>
            </w:r>
          </w:p>
        </w:tc>
      </w:tr>
      <w:tr>
        <w:tc>
          <w:tcPr/>
          <w:p>
            <w:pPr>
              <w:pStyle w:val="Compact"/>
              <w:jc w:val="left"/>
            </w:pPr>
            <w:r>
              <w:t xml:space="preserve">3</w:t>
            </w:r>
          </w:p>
        </w:tc>
        <w:tc>
          <w:tcPr/>
          <w:p>
            <w:pPr>
              <w:pStyle w:val="Compact"/>
              <w:jc w:val="left"/>
            </w:pPr>
            <w:r>
              <w:t xml:space="preserve">Factory layout redesign and material flow analysis using AutoCAD and FlexSim simulation software</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Weeks 3–4</w:t>
            </w:r>
          </w:p>
        </w:tc>
      </w:tr>
      <w:tr>
        <w:tc>
          <w:tcPr/>
          <w:p>
            <w:pPr>
              <w:pStyle w:val="Compact"/>
              <w:jc w:val="left"/>
            </w:pPr>
            <w:r>
              <w:t xml:space="preserve">4</w:t>
            </w:r>
          </w:p>
        </w:tc>
        <w:tc>
          <w:tcPr/>
          <w:p>
            <w:pPr>
              <w:pStyle w:val="Compact"/>
              <w:jc w:val="left"/>
            </w:pPr>
            <w:r>
              <w:t xml:space="preserve">Development of Standard Operating Procedures (SOPs) and work instruction manuals for 8 key processes</w:t>
            </w:r>
          </w:p>
        </w:tc>
        <w:tc>
          <w:tcPr/>
          <w:p>
            <w:pPr>
              <w:pStyle w:val="Compact"/>
              <w:jc w:val="left"/>
            </w:pPr>
            <w:r>
              <w:t xml:space="preserve">8 documents</w:t>
            </w:r>
          </w:p>
        </w:tc>
        <w:tc>
          <w:tcPr/>
          <w:p>
            <w:pPr>
              <w:pStyle w:val="Compact"/>
              <w:jc w:val="left"/>
            </w:pPr>
            <w:r>
              <w:t xml:space="preserve">12,500</w:t>
            </w:r>
          </w:p>
        </w:tc>
        <w:tc>
          <w:tcPr/>
          <w:p>
            <w:pPr>
              <w:pStyle w:val="Compact"/>
              <w:jc w:val="left"/>
            </w:pPr>
            <w:r>
              <w:t xml:space="preserve">100,000</w:t>
            </w:r>
          </w:p>
        </w:tc>
        <w:tc>
          <w:tcPr/>
          <w:p>
            <w:pPr>
              <w:pStyle w:val="Compact"/>
              <w:jc w:val="left"/>
            </w:pPr>
            <w:r>
              <w:t xml:space="preserve">Week 5</w:t>
            </w:r>
          </w:p>
        </w:tc>
      </w:tr>
      <w:tr>
        <w:tc>
          <w:tcPr/>
          <w:p>
            <w:pPr>
              <w:pStyle w:val="Compact"/>
              <w:jc w:val="left"/>
            </w:pPr>
            <w:r>
              <w:t xml:space="preserve">5</w:t>
            </w:r>
          </w:p>
        </w:tc>
        <w:tc>
          <w:tcPr/>
          <w:p>
            <w:pPr>
              <w:pStyle w:val="Compact"/>
              <w:jc w:val="left"/>
            </w:pPr>
            <w:r>
              <w:t xml:space="preserve">Quality control system audit and SPC (Statistical Process Control) implementation plan</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Week 6</w:t>
            </w:r>
          </w:p>
        </w:tc>
      </w:tr>
      <w:tr>
        <w:tc>
          <w:tcPr/>
          <w:p>
            <w:pPr>
              <w:pStyle w:val="Compact"/>
              <w:jc w:val="left"/>
            </w:pPr>
            <w:r>
              <w:t xml:space="preserve">6</w:t>
            </w:r>
          </w:p>
        </w:tc>
        <w:tc>
          <w:tcPr/>
          <w:p>
            <w:pPr>
              <w:pStyle w:val="Compact"/>
              <w:jc w:val="left"/>
            </w:pPr>
            <w:r>
              <w:t xml:space="preserve">Training workshop for 25 shop-floor supervisors on lean manufacturing principles (delivered in</w:t>
            </w:r>
            <w:r>
              <w:t xml:space="preserve"> </w:t>
            </w:r>
            <w:r>
              <w:t xml:space="preserve">Bangladesh Dhaka</w:t>
            </w:r>
            <w:r>
              <w:t xml:space="preserve">)</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Week 7</w:t>
            </w:r>
          </w:p>
        </w:tc>
      </w:tr>
      <w:tr>
        <w:tc>
          <w:tcPr/>
          <w:p>
            <w:pPr>
              <w:pStyle w:val="Compact"/>
              <w:jc w:val="left"/>
            </w:pPr>
            <w:r>
              <w:t xml:space="preserve">7</w:t>
            </w:r>
          </w:p>
        </w:tc>
        <w:tc>
          <w:tcPr/>
          <w:p>
            <w:pPr>
              <w:pStyle w:val="Compact"/>
              <w:jc w:val="left"/>
            </w:pPr>
            <w:r>
              <w:t xml:space="preserve">Final comprehensive engineering report with KPI dashboard, ROI projection, and 12-month implementation roadmap</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Week 8</w:t>
            </w:r>
          </w:p>
        </w:tc>
      </w:tr>
      <w:tr>
        <w:tc>
          <w:tcPr/>
          <w:p>
            <w:pPr>
              <w:pStyle w:val="Compact"/>
              <w:jc w:val="left"/>
            </w:pPr>
            <w:r>
              <w:t xml:space="preserve">8</w:t>
            </w:r>
          </w:p>
        </w:tc>
        <w:tc>
          <w:tcPr/>
          <w:p>
            <w:pPr>
              <w:pStyle w:val="Compact"/>
              <w:jc w:val="left"/>
            </w:pPr>
            <w:r>
              <w:t xml:space="preserve">Post-implementation follow-up visit and performance verification (on-site in</w:t>
            </w:r>
            <w:r>
              <w:t xml:space="preserve"> </w:t>
            </w:r>
            <w:r>
              <w:t xml:space="preserve">Bangladesh Dhaka</w:t>
            </w:r>
            <w:r>
              <w:t xml:space="preserve">)</w:t>
            </w:r>
          </w:p>
        </w:tc>
        <w:tc>
          <w:tcPr/>
          <w:p>
            <w:pPr>
              <w:pStyle w:val="Compact"/>
              <w:jc w:val="left"/>
            </w:pPr>
            <w:r>
              <w:t xml:space="preserve">2 days</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Month 3</w:t>
            </w:r>
          </w:p>
        </w:tc>
      </w:tr>
      <w:tr>
        <w:tc>
          <w:tcPr>
            <w:gridSpan w:val="4"/>
          </w:tcPr>
          <w:p>
            <w:pPr>
              <w:pStyle w:val="Compact"/>
              <w:jc w:val="right"/>
            </w:pPr>
            <w:r>
              <w:t xml:space="preserve">Subtotal</w:t>
            </w:r>
          </w:p>
        </w:tc>
        <w:tc>
          <w:tcPr/>
          <w:p>
            <w:pPr>
              <w:pStyle w:val="Compact"/>
              <w:jc w:val="left"/>
            </w:pPr>
            <w:r>
              <w:t xml:space="preserve">804,000</w:t>
            </w:r>
          </w:p>
        </w:tc>
        <w:tc>
          <w:tcPr/>
          <w:p>
            <w:pPr>
              <w:pStyle w:val="Compact"/>
            </w:pPr>
          </w:p>
        </w:tc>
      </w:tr>
      <w:tr>
        <w:tc>
          <w:tcPr>
            <w:gridSpan w:val="4"/>
          </w:tcPr>
          <w:p>
            <w:pPr>
              <w:pStyle w:val="Compact"/>
              <w:jc w:val="right"/>
            </w:pPr>
            <w:r>
              <w:t xml:space="preserve">VAT @ 15% (as applicable in Bangladesh)</w:t>
            </w:r>
          </w:p>
        </w:tc>
        <w:tc>
          <w:tcPr/>
          <w:p>
            <w:pPr>
              <w:pStyle w:val="Compact"/>
              <w:jc w:val="left"/>
            </w:pPr>
            <w:r>
              <w:t xml:space="preserve">120,600</w:t>
            </w:r>
          </w:p>
        </w:tc>
        <w:tc>
          <w:tcPr/>
          <w:p>
            <w:pPr>
              <w:pStyle w:val="Compact"/>
            </w:pPr>
          </w:p>
        </w:tc>
      </w:tr>
      <w:tr>
        <w:tc>
          <w:tcPr>
            <w:gridSpan w:val="4"/>
          </w:tcPr>
          <w:p>
            <w:pPr>
              <w:pStyle w:val="Compact"/>
              <w:jc w:val="right"/>
            </w:pPr>
            <w:r>
              <w:t xml:space="preserve">Grand Total (BDT)</w:t>
            </w:r>
          </w:p>
        </w:tc>
        <w:tc>
          <w:tcPr/>
          <w:p>
            <w:pPr>
              <w:pStyle w:val="Compact"/>
              <w:jc w:val="left"/>
            </w:pPr>
            <w:r>
              <w:t xml:space="preserve">924,600</w:t>
            </w:r>
          </w:p>
        </w:tc>
        <w:tc>
          <w:tcPr/>
          <w:p>
            <w:pPr>
              <w:pStyle w:val="Compact"/>
            </w:pPr>
          </w:p>
        </w:tc>
      </w:tr>
    </w:tbl>
    <w:bookmarkEnd w:id="22"/>
    <w:bookmarkStart w:id="23" w:name="X91ca8b609674a08e3cb77c20882d4843dc54333"/>
    <w:p>
      <w:pPr>
        <w:pStyle w:val="Heading2"/>
      </w:pPr>
      <w:r>
        <w:t xml:space="preserve">3. Professional Qualifications of the Assigned Industrial Engineer</w:t>
      </w:r>
    </w:p>
    <w:p>
      <w:pPr>
        <w:pStyle w:val="FirstParagraph"/>
      </w:pPr>
      <w:r>
        <w:t xml:space="preserve">The</w:t>
      </w:r>
      <w:r>
        <w:t xml:space="preserve"> </w:t>
      </w:r>
      <w:r>
        <w:t xml:space="preserve">Industrial Engineer</w:t>
      </w:r>
      <w:r>
        <w:t xml:space="preserve"> </w:t>
      </w:r>
      <w:r>
        <w:t xml:space="preserve">assigned to this project, Eng. Farhana Akter, holds a B.Sc. in Industrial and Production Engineering from the Bangladesh University of Engineering and Technology (BUET), Dhaka, and an M.Sc. in Operations Research from the University of Dhaka. She is a licensed professional engineer registered with the Bangladesh Council of Engineers (BCE) and possesses over eleven years of hands-on experience in textile, garment, and light manufacturing sectors across</w:t>
      </w:r>
      <w:r>
        <w:t xml:space="preserve"> </w:t>
      </w:r>
      <w:r>
        <w:t xml:space="preserve">Bangladesh Dhaka</w:t>
      </w:r>
      <w:r>
        <w:t xml:space="preserve"> </w:t>
      </w:r>
      <w:r>
        <w:t xml:space="preserve">and its surrounding industrial zones including Gazipur, Narayanganj, and Savar. Her expertise includes lean six sigma (Black Belt certified), human factors engineering, production planning, and supply chain optimization.</w:t>
      </w:r>
    </w:p>
    <w:bookmarkEnd w:id="23"/>
    <w:bookmarkStart w:id="24" w:name="payment-terms-and-schedule"/>
    <w:p>
      <w:pPr>
        <w:pStyle w:val="Heading2"/>
      </w:pPr>
      <w:r>
        <w:t xml:space="preserve">4. Payment Terms and Schedule</w:t>
      </w:r>
    </w:p>
    <w:p>
      <w:pPr>
        <w:numPr>
          <w:ilvl w:val="0"/>
          <w:numId w:val="1001"/>
        </w:numPr>
        <w:pStyle w:val="Compact"/>
      </w:pPr>
      <w:r>
        <w:rPr>
          <w:bCs/>
          <w:b/>
        </w:rPr>
        <w:t xml:space="preserve">Advance Payment (30%):</w:t>
      </w:r>
      <w:r>
        <w:t xml:space="preserve"> </w:t>
      </w:r>
      <w:r>
        <w:t xml:space="preserve">BDT 277,380 – due within 7 working days of acceptance of this</w:t>
      </w:r>
      <w:r>
        <w:t xml:space="preserve"> </w:t>
      </w:r>
      <w:r>
        <w:t xml:space="preserve">Quotation Estimate</w:t>
      </w:r>
      <w:r>
        <w:t xml:space="preserve">.</w:t>
      </w:r>
    </w:p>
    <w:p>
      <w:pPr>
        <w:numPr>
          <w:ilvl w:val="0"/>
          <w:numId w:val="1001"/>
        </w:numPr>
        <w:pStyle w:val="Compact"/>
      </w:pPr>
      <w:r>
        <w:rPr>
          <w:bCs/>
          <w:b/>
        </w:rPr>
        <w:t xml:space="preserve">Milestone Payment (40%):</w:t>
      </w:r>
      <w:r>
        <w:t xml:space="preserve"> </w:t>
      </w:r>
      <w:r>
        <w:t xml:space="preserve">BDT 369,840 – due upon delivery of the layout redesign package and SOP documents (end of Week 5).</w:t>
      </w:r>
    </w:p>
    <w:p>
      <w:pPr>
        <w:numPr>
          <w:ilvl w:val="0"/>
          <w:numId w:val="1001"/>
        </w:numPr>
        <w:pStyle w:val="Compact"/>
      </w:pPr>
      <w:r>
        <w:rPr>
          <w:bCs/>
          <w:b/>
        </w:rPr>
        <w:t xml:space="preserve">Final Payment (30%):</w:t>
      </w:r>
      <w:r>
        <w:t xml:space="preserve"> </w:t>
      </w:r>
      <w:r>
        <w:t xml:space="preserve">BDT 277,380 – due upon submission of the final engineering report and completion of the training workshop (end of Week 8).</w:t>
      </w:r>
    </w:p>
    <w:p>
      <w:pPr>
        <w:numPr>
          <w:ilvl w:val="0"/>
          <w:numId w:val="1001"/>
        </w:numPr>
        <w:pStyle w:val="Compact"/>
      </w:pPr>
      <w:r>
        <w:t xml:space="preserve">All payments shall be made via bank transfer to Apex Industrial Solutions Ltd., BRAC Bank, Banani Branch,</w:t>
      </w:r>
      <w:r>
        <w:t xml:space="preserve"> </w:t>
      </w:r>
      <w:r>
        <w:t xml:space="preserve">Bangladesh Dhaka</w:t>
      </w:r>
      <w:r>
        <w:t xml:space="preserve">, A/C No. 1010-XXXXXX-001.</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in</w:t>
      </w:r>
      <w:r>
        <w:t xml:space="preserve"> </w:t>
      </w:r>
      <w:r>
        <w:t xml:space="preserve">Bangladesh Dhaka</w:t>
      </w:r>
      <w:r>
        <w:t xml:space="preserve">.</w:t>
      </w:r>
    </w:p>
    <w:p>
      <w:pPr>
        <w:numPr>
          <w:ilvl w:val="0"/>
          <w:numId w:val="1002"/>
        </w:numPr>
        <w:pStyle w:val="Compact"/>
      </w:pPr>
      <w:r>
        <w:t xml:space="preserve">The</w:t>
      </w:r>
      <w:r>
        <w:t xml:space="preserve"> </w:t>
      </w:r>
      <w:r>
        <w:t xml:space="preserve">Industrial Engineer</w:t>
      </w:r>
      <w:r>
        <w:t xml:space="preserve"> </w:t>
      </w:r>
      <w:r>
        <w:t xml:space="preserve">shall have full access to all relevant production areas, records, and personnel at the client's</w:t>
      </w:r>
      <w:r>
        <w:t xml:space="preserve"> </w:t>
      </w:r>
      <w:r>
        <w:t xml:space="preserve">Bangladesh Dhaka</w:t>
      </w:r>
      <w:r>
        <w:t xml:space="preserve"> </w:t>
      </w:r>
      <w:r>
        <w:t xml:space="preserve">facility during working hours (08:00–17:00, Sunday–Thursday).</w:t>
      </w:r>
    </w:p>
    <w:p>
      <w:pPr>
        <w:numPr>
          <w:ilvl w:val="0"/>
          <w:numId w:val="1002"/>
        </w:numPr>
        <w:pStyle w:val="Compact"/>
      </w:pPr>
      <w:r>
        <w:t xml:space="preserve">Client is responsible for providing a dedicated workspace, access to production data, and coordination with shift supervisors during on-site activities.</w:t>
      </w:r>
    </w:p>
    <w:p>
      <w:pPr>
        <w:numPr>
          <w:ilvl w:val="0"/>
          <w:numId w:val="1002"/>
        </w:numPr>
        <w:pStyle w:val="Compact"/>
      </w:pPr>
      <w:r>
        <w:t xml:space="preserve">All deliverables, including reports, CAD drawings, and simulation files, shall be the exclusive intellectual property of the client upon full payment.</w:t>
      </w:r>
    </w:p>
    <w:p>
      <w:pPr>
        <w:numPr>
          <w:ilvl w:val="0"/>
          <w:numId w:val="1002"/>
        </w:numPr>
        <w:pStyle w:val="Compact"/>
      </w:pPr>
      <w:r>
        <w:t xml:space="preserve">Any scope changes or additional work beyond the items listed in this</w:t>
      </w:r>
      <w:r>
        <w:t xml:space="preserve"> </w:t>
      </w:r>
      <w:r>
        <w:t xml:space="preserve">Quotation Estimate</w:t>
      </w:r>
      <w:r>
        <w:t xml:space="preserve"> </w:t>
      </w:r>
      <w:r>
        <w:t xml:space="preserve">shall be subject to a separate written amendment and additional cost approval.</w:t>
      </w:r>
    </w:p>
    <w:p>
      <w:pPr>
        <w:numPr>
          <w:ilvl w:val="0"/>
          <w:numId w:val="1002"/>
        </w:numPr>
        <w:pStyle w:val="Compact"/>
      </w:pPr>
      <w:r>
        <w:t xml:space="preserve">Apex Industrial Solutions Ltd. shall maintain professional indemnity insurance of not less than BDT 5,000,000 for the duration of the engagement.</w:t>
      </w:r>
    </w:p>
    <w:p>
      <w:pPr>
        <w:numPr>
          <w:ilvl w:val="0"/>
          <w:numId w:val="1002"/>
        </w:numPr>
        <w:pStyle w:val="Compact"/>
      </w:pPr>
      <w:r>
        <w:t xml:space="preserve">Disputes arising from this engagement shall be governed by the laws of the People's Republic of Bangladesh and shall be resolved through arbitration in</w:t>
      </w:r>
      <w:r>
        <w:t xml:space="preserve"> </w:t>
      </w:r>
      <w:r>
        <w:t xml:space="preserve">Bangladesh Dhaka</w:t>
      </w:r>
      <w:r>
        <w:t xml:space="preserve"> </w:t>
      </w:r>
      <w:r>
        <w:t xml:space="preserve">in accordance with the Arbitration Act, 2001.</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rates, and terms outlined herein for the engagement of the</w:t>
      </w:r>
      <w:r>
        <w:t xml:space="preserve"> </w:t>
      </w:r>
      <w:r>
        <w:t xml:space="preserve">Industrial Engineer</w:t>
      </w:r>
      <w:r>
        <w:t xml:space="preserve"> </w:t>
      </w:r>
      <w:r>
        <w:t xml:space="preserve">services in</w:t>
      </w:r>
      <w:r>
        <w:t xml:space="preserve"> </w:t>
      </w:r>
      <w:r>
        <w:t xml:space="preserve">Bangladesh Dhaka</w:t>
      </w:r>
      <w:r>
        <w:t xml:space="preserve">.</w:t>
      </w:r>
    </w:p>
    <w:p>
      <w:pPr>
        <w:pStyle w:val="BodyText"/>
      </w:pPr>
      <w:r>
        <w:rPr>
          <w:bCs/>
          <w:b/>
        </w:rPr>
        <w:t xml:space="preserve">For Apex Industrial Solutions Ltd.</w:t>
      </w:r>
      <w:r>
        <w:br/>
      </w:r>
      <w:r>
        <w:t xml:space="preserve">Eng. Farhana Akter</w:t>
      </w:r>
      <w:r>
        <w:br/>
      </w:r>
      <w:r>
        <w:t xml:space="preserve">Senior Industrial Engineer</w:t>
      </w:r>
      <w:r>
        <w:br/>
      </w:r>
      <w:r>
        <w:t xml:space="preserve">Date: _______________</w:t>
      </w:r>
    </w:p>
    <w:p>
      <w:pPr>
        <w:pStyle w:val="BodyText"/>
      </w:pPr>
      <w:r>
        <w:rPr>
          <w:bCs/>
          <w:b/>
        </w:rPr>
        <w:t xml:space="preserve">For Dhaka Textile Mills Ltd.</w:t>
      </w:r>
      <w:r>
        <w:br/>
      </w:r>
      <w:r>
        <w:t xml:space="preserve">Mr. Rafiqul Islam</w:t>
      </w:r>
      <w:r>
        <w:br/>
      </w:r>
      <w:r>
        <w:t xml:space="preserve">Operations Director</w:t>
      </w:r>
      <w:r>
        <w:br/>
      </w:r>
      <w:r>
        <w:t xml:space="preserve">Date: _______________</w:t>
      </w:r>
    </w:p>
    <w:p>
      <w:pPr>
        <w:pStyle w:val="BodyText"/>
      </w:pPr>
      <w:r>
        <w:rPr>
          <w:bCs/>
          <w:b/>
        </w:rPr>
        <w:t xml:space="preserve">Note:</w:t>
      </w:r>
      <w:r>
        <w:t xml:space="preserve"> </w:t>
      </w:r>
      <w:r>
        <w:t xml:space="preserve">This Quotation Estimate is a non-binding document until formally accepted in writing by both parties. All figures are in Bangladeshi Taka (BDT) and are subject to the prevailing VAT and tax regulations of Bangladesh. For queries regarding this estimate, please contact our</w:t>
      </w:r>
      <w:r>
        <w:t xml:space="preserve"> </w:t>
      </w:r>
      <w:r>
        <w:t xml:space="preserve">Bangladesh Dhaka</w:t>
      </w:r>
      <w:r>
        <w:t xml:space="preserve"> </w:t>
      </w:r>
      <w:r>
        <w:t xml:space="preserve">office at +880-2-9887654 or quotations@apexindustrialbd.com within the validity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Bangladesh Dhaka</dc:title>
  <dc:creator/>
  <dc:language>en</dc:language>
  <cp:keywords/>
  <dcterms:created xsi:type="dcterms:W3CDTF">2026-10-10T03:45:03Z</dcterms:created>
  <dcterms:modified xsi:type="dcterms:W3CDTF">2026-10-10T03:45:03Z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