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Industrial Engineer Services — Germany Berlin</w:t>
      </w:r>
    </w:p>
    <w:p>
      <w:pPr>
        <w:pStyle w:val="BodyText"/>
      </w:pPr>
      <w:r>
        <w:t xml:space="preserve">Document Reference: QE-2025-BER-0472 | Valid Until: 30 June 2025</w:t>
      </w:r>
    </w:p>
    <w:bookmarkEnd w:id="20"/>
    <w:p>
      <w:pPr>
        <w:pStyle w:val="BodyText"/>
      </w:pPr>
      <w:r>
        <w:rPr>
          <w:bCs/>
          <w:b/>
        </w:rPr>
        <w:t xml:space="preserve">Prepared By:</w:t>
      </w:r>
      <w:r>
        <w:t xml:space="preserve"> </w:t>
      </w:r>
      <w:r>
        <w:t xml:space="preserve">Dr. Markus Weber, P.Eng.</w:t>
      </w:r>
      <w:r>
        <w:br/>
      </w:r>
      <w:r>
        <w:t xml:space="preserve">Weber Industrial Consulting GmbH</w:t>
      </w:r>
      <w:r>
        <w:br/>
      </w:r>
      <w:r>
        <w:t xml:space="preserve">Friedrichstraße 142, 10117 Berlin, Germany</w:t>
      </w:r>
      <w:r>
        <w:br/>
      </w:r>
      <w:r>
        <w:t xml:space="preserve">Tel: +49 30 5551 8820</w:t>
      </w:r>
      <w:r>
        <w:br/>
      </w:r>
      <w:r>
        <w:t xml:space="preserve">Email: m.weber@weber-industrial.de</w:t>
      </w:r>
    </w:p>
    <w:p>
      <w:pPr>
        <w:pStyle w:val="BodyText"/>
      </w:pPr>
      <w:r>
        <w:rPr>
          <w:bCs/>
          <w:b/>
        </w:rPr>
        <w:t xml:space="preserve">Prepared For:</w:t>
      </w:r>
      <w:r>
        <w:t xml:space="preserve"> </w:t>
      </w:r>
      <w:r>
        <w:t xml:space="preserve">Siemens Energy GmbH &amp; Co. KG</w:t>
      </w:r>
      <w:r>
        <w:br/>
      </w:r>
      <w:r>
        <w:t xml:space="preserve">Attn: Dr. Anna Kessler, Head of Operations</w:t>
      </w:r>
      <w:r>
        <w:br/>
      </w:r>
      <w:r>
        <w:t xml:space="preserve">Wittener Straße 2, 12309 Berlin, Germany</w:t>
      </w:r>
      <w:r>
        <w:br/>
      </w:r>
      <w:r>
        <w:t xml:space="preserve">Tel: +49 30 7009 0</w:t>
      </w:r>
      <w:r>
        <w:br/>
      </w:r>
      <w:r>
        <w:t xml:space="preserve">Email: a.kessler@siemens-energy.com</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for proposal (RFP) issued by Siemens Energy GmbH &amp; Co. KG on 12 March 2025. The purpose of this document is to provide a comprehensive, itemised cost breakdown for the engagement of a senior</w:t>
      </w:r>
      <w:r>
        <w:t xml:space="preserve"> </w:t>
      </w:r>
      <w:r>
        <w:t xml:space="preserve">Industrial Engineer</w:t>
      </w:r>
      <w:r>
        <w:t xml:space="preserve"> </w:t>
      </w:r>
      <w:r>
        <w:t xml:space="preserve">to deliver process optimisation, production line redesign, and operational efficiency consulting services at the client's manufacturing facility located in</w:t>
      </w:r>
      <w:r>
        <w:t xml:space="preserve"> </w:t>
      </w:r>
      <w:r>
        <w:t xml:space="preserve">Germany Berlin</w:t>
      </w:r>
      <w:r>
        <w:t xml:space="preserve">. All pricing, deliverables, and timelines outlined herein are specific to the operational context of the Berlin metropolitan industrial zone and comply with applicable German labour regulations, DIN standards, and EU occupational safety directives.</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assigned to this project will operate on-site at the client's Berlin facility (Wittener Straße 2) for a duration of twelve (12) consecutive weeks, commencing on 1 September 2025. The scope encompasses the following core deliverables:</w:t>
      </w:r>
    </w:p>
    <w:p>
      <w:pPr>
        <w:numPr>
          <w:ilvl w:val="0"/>
          <w:numId w:val="1001"/>
        </w:numPr>
        <w:pStyle w:val="Compact"/>
      </w:pPr>
      <w:r>
        <w:rPr>
          <w:bCs/>
          <w:b/>
        </w:rPr>
        <w:t xml:space="preserve">Process Mapping &amp; Value Stream Analysis:</w:t>
      </w:r>
      <w:r>
        <w:t xml:space="preserve"> </w:t>
      </w:r>
      <w:r>
        <w:t xml:space="preserve">A complete documentation of all existing production workflows across three assembly lines, identifying bottlenecks, redundancies, and non-value-adding activities specific to the Berlin plant's current configuration.</w:t>
      </w:r>
    </w:p>
    <w:p>
      <w:pPr>
        <w:numPr>
          <w:ilvl w:val="0"/>
          <w:numId w:val="1001"/>
        </w:numPr>
        <w:pStyle w:val="Compact"/>
      </w:pPr>
      <w:r>
        <w:rPr>
          <w:bCs/>
          <w:b/>
        </w:rPr>
        <w:t xml:space="preserve">Production Line Redesign:</w:t>
      </w:r>
      <w:r>
        <w:t xml:space="preserve"> </w:t>
      </w:r>
      <w:r>
        <w:t xml:space="preserve">Development of a revised layout plan incorporating lean manufacturing principles, ergonomic workstation design compliant with German DGUV regulations, and throughput improvements targeting a minimum 18% increase in units per shift.</w:t>
      </w:r>
    </w:p>
    <w:p>
      <w:pPr>
        <w:numPr>
          <w:ilvl w:val="0"/>
          <w:numId w:val="1001"/>
        </w:numPr>
        <w:pStyle w:val="Compact"/>
      </w:pPr>
      <w:r>
        <w:rPr>
          <w:bCs/>
          <w:b/>
        </w:rPr>
        <w:t xml:space="preserve">Quality Control Integration:</w:t>
      </w:r>
      <w:r>
        <w:t xml:space="preserve"> </w:t>
      </w:r>
      <w:r>
        <w:t xml:space="preserve">Implementation of statistical process control (SPC) frameworks aligned with ISO 9001:2015 requirements, with particular attention to the precision tolerances demanded by the energy-sector components manufactured in Germany Berlin.</w:t>
      </w:r>
    </w:p>
    <w:p>
      <w:pPr>
        <w:numPr>
          <w:ilvl w:val="0"/>
          <w:numId w:val="1001"/>
        </w:numPr>
        <w:pStyle w:val="Compact"/>
      </w:pPr>
      <w:r>
        <w:rPr>
          <w:bCs/>
          <w:b/>
        </w:rPr>
        <w:t xml:space="preserve">Workforce Planning &amp; Training:</w:t>
      </w:r>
      <w:r>
        <w:t xml:space="preserve"> </w:t>
      </w:r>
      <w:r>
        <w:t xml:space="preserve">Preparation of a staffing model and a structured training curriculum for 45 production operators, ensuring compliance with the German Works Constitution Act (Betriebsverfassungsgesetz) and the Berlin-specific collective bargaining agreements (Tarifverträge).</w:t>
      </w:r>
    </w:p>
    <w:p>
      <w:pPr>
        <w:numPr>
          <w:ilvl w:val="0"/>
          <w:numId w:val="1001"/>
        </w:numPr>
        <w:pStyle w:val="Compact"/>
      </w:pPr>
      <w:r>
        <w:rPr>
          <w:bCs/>
          <w:b/>
        </w:rPr>
        <w:t xml:space="preserve">Final Reporting &amp; Handover:</w:t>
      </w:r>
      <w:r>
        <w:t xml:space="preserve"> </w:t>
      </w:r>
      <w:r>
        <w:t xml:space="preserve">Submission of a comprehensive 120-page technical report, including CAD layout drawings, Gantt-chart implementation schedules, and a 90-day post-implementation support plan.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Industrial Engineer — On-site consulting (process mapping, VSM, line redesign)</w:t>
            </w:r>
          </w:p>
        </w:tc>
        <w:tc>
          <w:tcPr/>
          <w:p>
            <w:pPr>
              <w:pStyle w:val="Compact"/>
              <w:jc w:val="left"/>
            </w:pPr>
            <w:r>
              <w:t xml:space="preserve">12 weeks × 40 hrs</w:t>
            </w:r>
          </w:p>
        </w:tc>
        <w:tc>
          <w:tcPr/>
          <w:p>
            <w:pPr>
              <w:pStyle w:val="Compact"/>
              <w:jc w:val="left"/>
            </w:pPr>
            <w:r>
              <w:t xml:space="preserve">145.00 / hr</w:t>
            </w:r>
          </w:p>
        </w:tc>
        <w:tc>
          <w:tcPr/>
          <w:p>
            <w:pPr>
              <w:pStyle w:val="Compact"/>
              <w:jc w:val="left"/>
            </w:pPr>
            <w:r>
              <w:t xml:space="preserve">69,600.00</w:t>
            </w:r>
          </w:p>
        </w:tc>
      </w:tr>
      <w:tr>
        <w:tc>
          <w:tcPr/>
          <w:p>
            <w:pPr>
              <w:pStyle w:val="Compact"/>
              <w:jc w:val="left"/>
            </w:pPr>
            <w:r>
              <w:t xml:space="preserve">02</w:t>
            </w:r>
          </w:p>
        </w:tc>
        <w:tc>
          <w:tcPr/>
          <w:p>
            <w:pPr>
              <w:pStyle w:val="Compact"/>
              <w:jc w:val="left"/>
            </w:pPr>
            <w:r>
              <w:t xml:space="preserve">Junior Industrial Engineer — Data collection, measurement studies, documentation support</w:t>
            </w:r>
          </w:p>
        </w:tc>
        <w:tc>
          <w:tcPr/>
          <w:p>
            <w:pPr>
              <w:pStyle w:val="Compact"/>
              <w:jc w:val="left"/>
            </w:pPr>
            <w:r>
              <w:t xml:space="preserve">12 weeks × 40 hrs</w:t>
            </w:r>
          </w:p>
        </w:tc>
        <w:tc>
          <w:tcPr/>
          <w:p>
            <w:pPr>
              <w:pStyle w:val="Compact"/>
              <w:jc w:val="left"/>
            </w:pPr>
            <w:r>
              <w:t xml:space="preserve">85.00 / hr</w:t>
            </w:r>
          </w:p>
        </w:tc>
        <w:tc>
          <w:tcPr/>
          <w:p>
            <w:pPr>
              <w:pStyle w:val="Compact"/>
              <w:jc w:val="left"/>
            </w:pPr>
            <w:r>
              <w:t xml:space="preserve">40,800.00</w:t>
            </w:r>
          </w:p>
        </w:tc>
      </w:tr>
      <w:tr>
        <w:tc>
          <w:tcPr/>
          <w:p>
            <w:pPr>
              <w:pStyle w:val="Compact"/>
              <w:jc w:val="left"/>
            </w:pPr>
            <w:r>
              <w:t xml:space="preserve">03</w:t>
            </w:r>
          </w:p>
        </w:tc>
        <w:tc>
          <w:tcPr/>
          <w:p>
            <w:pPr>
              <w:pStyle w:val="Compact"/>
              <w:jc w:val="left"/>
            </w:pPr>
            <w:r>
              <w:t xml:space="preserve">Specialist software licences (Siemens Tecnomatix, Minitab, AutoCAD Plant 3D) — project duration</w:t>
            </w:r>
          </w:p>
        </w:tc>
        <w:tc>
          <w:tcPr/>
          <w:p>
            <w:pPr>
              <w:pStyle w:val="Compact"/>
              <w:jc w:val="left"/>
            </w:pPr>
            <w:r>
              <w:t xml:space="preserve">12 weeks</w:t>
            </w:r>
          </w:p>
        </w:tc>
        <w:tc>
          <w:tcPr/>
          <w:p>
            <w:pPr>
              <w:pStyle w:val="Compact"/>
              <w:jc w:val="left"/>
            </w:pPr>
            <w:r>
              <w:t xml:space="preserve">1,200.00 / wk</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Travel &amp; local transport within Germany Berlin (public transit, parking, inter-site transfers)</w:t>
            </w:r>
          </w:p>
        </w:tc>
        <w:tc>
          <w:tcPr/>
          <w:p>
            <w:pPr>
              <w:pStyle w:val="Compact"/>
              <w:jc w:val="left"/>
            </w:pPr>
            <w:r>
              <w:t xml:space="preserve">12 weeks</w:t>
            </w:r>
          </w:p>
        </w:tc>
        <w:tc>
          <w:tcPr/>
          <w:p>
            <w:pPr>
              <w:pStyle w:val="Compact"/>
              <w:jc w:val="left"/>
            </w:pPr>
            <w:r>
              <w:t xml:space="preserve">350.00 / wk</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Accommodation &amp; per diem (for the Junior Industrial Engineer, based in Potsdam)</w:t>
            </w:r>
          </w:p>
        </w:tc>
        <w:tc>
          <w:tcPr/>
          <w:p>
            <w:pPr>
              <w:pStyle w:val="Compact"/>
              <w:jc w:val="left"/>
            </w:pPr>
            <w:r>
              <w:t xml:space="preserve">12 weeks</w:t>
            </w:r>
          </w:p>
        </w:tc>
        <w:tc>
          <w:tcPr/>
          <w:p>
            <w:pPr>
              <w:pStyle w:val="Compact"/>
              <w:jc w:val="left"/>
            </w:pPr>
            <w:r>
              <w:t xml:space="preserve">820.00 / wk</w:t>
            </w:r>
          </w:p>
        </w:tc>
        <w:tc>
          <w:tcPr/>
          <w:p>
            <w:pPr>
              <w:pStyle w:val="Compact"/>
              <w:jc w:val="left"/>
            </w:pPr>
            <w:r>
              <w:t xml:space="preserve">9,840.00</w:t>
            </w:r>
          </w:p>
        </w:tc>
      </w:tr>
      <w:tr>
        <w:tc>
          <w:tcPr/>
          <w:p>
            <w:pPr>
              <w:pStyle w:val="Compact"/>
              <w:jc w:val="left"/>
            </w:pPr>
            <w:r>
              <w:t xml:space="preserve">06</w:t>
            </w:r>
          </w:p>
        </w:tc>
        <w:tc>
          <w:tcPr/>
          <w:p>
            <w:pPr>
              <w:pStyle w:val="Compact"/>
              <w:jc w:val="left"/>
            </w:pPr>
            <w:r>
              <w:t xml:space="preserve">Workshop facilitation &amp; operator training sessions (materials, venue, refreshments)</w:t>
            </w:r>
          </w:p>
        </w:tc>
        <w:tc>
          <w:tcPr/>
          <w:p>
            <w:pPr>
              <w:pStyle w:val="Compact"/>
              <w:jc w:val="left"/>
            </w:pPr>
            <w:r>
              <w:t xml:space="preserve">6 sessions</w:t>
            </w:r>
          </w:p>
        </w:tc>
        <w:tc>
          <w:tcPr/>
          <w:p>
            <w:pPr>
              <w:pStyle w:val="Compact"/>
              <w:jc w:val="left"/>
            </w:pPr>
            <w:r>
              <w:t xml:space="preserve">1,850.00 / session</w:t>
            </w:r>
          </w:p>
        </w:tc>
        <w:tc>
          <w:tcPr/>
          <w:p>
            <w:pPr>
              <w:pStyle w:val="Compact"/>
              <w:jc w:val="left"/>
            </w:pPr>
            <w:r>
              <w:t xml:space="preserve">11,100.00</w:t>
            </w:r>
          </w:p>
        </w:tc>
      </w:tr>
      <w:tr>
        <w:tc>
          <w:tcPr/>
          <w:p>
            <w:pPr>
              <w:pStyle w:val="Compact"/>
              <w:jc w:val="left"/>
            </w:pPr>
            <w:r>
              <w:t xml:space="preserve">07</w:t>
            </w:r>
          </w:p>
        </w:tc>
        <w:tc>
          <w:tcPr/>
          <w:p>
            <w:pPr>
              <w:pStyle w:val="Compact"/>
              <w:jc w:val="left"/>
            </w:pPr>
            <w:r>
              <w:t xml:space="preserve">Final technical report, CAD deliverables, and 90-day post-implementation support</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Contingency allowance (5% of items 01–07) for unforeseen scope adjustments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8,622.00</w:t>
            </w:r>
          </w:p>
        </w:tc>
      </w:tr>
      <w:tr>
        <w:tc>
          <w:tcPr>
            <w:gridSpan w:val="4"/>
          </w:tcPr>
          <w:p>
            <w:pPr>
              <w:pStyle w:val="Compact"/>
              <w:jc w:val="right"/>
            </w:pPr>
            <w:r>
              <w:t xml:space="preserve">Subtotal (excl. VAT):</w:t>
            </w:r>
          </w:p>
        </w:tc>
        <w:tc>
          <w:tcPr/>
          <w:p>
            <w:pPr>
              <w:pStyle w:val="Compact"/>
              <w:jc w:val="left"/>
            </w:pPr>
            <w:r>
              <w:t xml:space="preserve">171,062.00</w:t>
            </w:r>
          </w:p>
        </w:tc>
      </w:tr>
      <w:tr>
        <w:tc>
          <w:tcPr>
            <w:gridSpan w:val="4"/>
          </w:tcPr>
          <w:p>
            <w:pPr>
              <w:pStyle w:val="Compact"/>
              <w:jc w:val="right"/>
            </w:pPr>
            <w:r>
              <w:t xml:space="preserve">VAT (19% — German standard rate):</w:t>
            </w:r>
          </w:p>
        </w:tc>
        <w:tc>
          <w:tcPr/>
          <w:p>
            <w:pPr>
              <w:pStyle w:val="Compact"/>
              <w:jc w:val="left"/>
            </w:pPr>
            <w:r>
              <w:t xml:space="preserve">32,501.78</w:t>
            </w:r>
          </w:p>
        </w:tc>
      </w:tr>
      <w:tr>
        <w:tc>
          <w:tcPr>
            <w:gridSpan w:val="4"/>
          </w:tcPr>
          <w:p>
            <w:pPr>
              <w:pStyle w:val="Compact"/>
              <w:jc w:val="right"/>
            </w:pPr>
            <w:r>
              <w:t xml:space="preserve">TOTAL AMOUNT DUE (incl. VAT):</w:t>
            </w:r>
          </w:p>
        </w:tc>
        <w:tc>
          <w:tcPr/>
          <w:p>
            <w:pPr>
              <w:pStyle w:val="Compact"/>
              <w:jc w:val="left"/>
            </w:pPr>
            <w:r>
              <w:t xml:space="preserve">203,563.78</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signature; 40% upon completion of Week 6 (mid-project milestone, confirmed by written acceptance of interim deliverables); and 30% upon final handover and acceptance of the complete technical report. All invoices shall be issued in EUR and are payable within 30 calendar days of the invoice date in accordance with standard commercial practice in Germany Berlin. Late payments shall accrue interest at the statutory rate pursuant to § 288 of the German Civil Code (BGB).</w:t>
      </w:r>
    </w:p>
    <w:bookmarkEnd w:id="24"/>
    <w:bookmarkStart w:id="25" w:name="validity-assumptions-exclusions"/>
    <w:p>
      <w:pPr>
        <w:pStyle w:val="Heading2"/>
      </w:pPr>
      <w:r>
        <w:t xml:space="preserve">5. Validity, Assumptions &amp; Exclusions</w:t>
      </w:r>
    </w:p>
    <w:p>
      <w:pPr>
        <w:pStyle w:val="FirstParagraph"/>
      </w:pPr>
      <w:r>
        <w:t xml:space="preserve">This</w:t>
      </w:r>
      <w:r>
        <w:t xml:space="preserve"> </w:t>
      </w:r>
      <w:r>
        <w:t xml:space="preserve">Quotation Estimate</w:t>
      </w:r>
      <w:r>
        <w:t xml:space="preserve"> </w:t>
      </w:r>
      <w:r>
        <w:t xml:space="preserve">is valid for a period of sixty (60) calendar days from the date of issue. The pricing assumes that the client will provide unrestricted access to all three production lines, existing process documentation, and a dedicated project liaison within the Berlin facility. The following items are explicitly excluded from this estimate: capital expenditure on new machinery or tooling, structural modifications to the building, and any regulatory filings with the Berlin Senate Department for Economy, Energy and Location (SenWAT). Should the scope of the</w:t>
      </w:r>
      <w:r>
        <w:t xml:space="preserve"> </w:t>
      </w:r>
      <w:r>
        <w:t xml:space="preserve">Industrial Engineer</w:t>
      </w:r>
      <w:r>
        <w:t xml:space="preserve">'s engagement expand beyond the parameters defined in Section 2, a supplementary quotation will be issued prior to any additional work commencing.</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governed by the laws of the Federal Republic of Germany. Any disputes arising from the interpretation or execution of this agreement shall be subject to the exclusive jurisdiction of the competent courts in Berlin, Germany.</w:t>
      </w:r>
    </w:p>
    <w:p>
      <w:pPr>
        <w:pStyle w:val="BodyText"/>
      </w:pPr>
      <w:r>
        <w:rPr>
          <w:bCs/>
          <w:b/>
        </w:rPr>
        <w:t xml:space="preserve">6.2</w:t>
      </w:r>
      <w:r>
        <w:t xml:space="preserve"> </w:t>
      </w:r>
      <w:r>
        <w:t xml:space="preserve">The Industrial Engineer and all supporting personnel shall comply with the client's site safety protocols, the German Occupational Safety and Health Act (Arbeitsschutzgesetz), and all applicable EU directives in force within Germany Berlin.</w:t>
      </w:r>
    </w:p>
    <w:p>
      <w:pPr>
        <w:pStyle w:val="BodyText"/>
      </w:pPr>
      <w:r>
        <w:rPr>
          <w:bCs/>
          <w:b/>
        </w:rPr>
        <w:t xml:space="preserve">6.3</w:t>
      </w:r>
      <w:r>
        <w:t xml:space="preserve"> </w:t>
      </w:r>
      <w:r>
        <w:t xml:space="preserve">All intellectual property, process data, and proprietary information generated during the course of this engagement shall remain the exclusive property of the client. The consulting firm shall execute a non-disclosure agreement (NDA) prior to the commencement of on-site work.</w:t>
      </w:r>
    </w:p>
    <w:p>
      <w:pPr>
        <w:pStyle w:val="BodyText"/>
      </w:pPr>
      <w:r>
        <w:rPr>
          <w:bCs/>
          <w:b/>
        </w:rPr>
        <w:t xml:space="preserve">6.4</w:t>
      </w:r>
      <w:r>
        <w:t xml:space="preserve"> </w:t>
      </w:r>
      <w:r>
        <w:t xml:space="preserve">Either party may terminate the engagement with a written notice period of fourteen (14) calendar days. In the event of early termination, all work completed up to the date of termination shall be invoiced at the rates specified in this Quotation Estimate.</w:t>
      </w:r>
    </w:p>
    <w:bookmarkEnd w:id="26"/>
    <w:bookmarkStart w:id="27" w:name="acceptance-and-authorisation"/>
    <w:p>
      <w:pPr>
        <w:pStyle w:val="Heading2"/>
      </w:pPr>
      <w:r>
        <w:t xml:space="preserve">7. Acceptance and Authorisation</w:t>
      </w:r>
    </w:p>
    <w:p>
      <w:pPr>
        <w:pStyle w:val="FirstParagraph"/>
      </w:pPr>
      <w:r>
        <w:t xml:space="preserve">By signing below, both parties confirm that this</w:t>
      </w:r>
      <w:r>
        <w:t xml:space="preserve"> </w:t>
      </w:r>
      <w:r>
        <w:t xml:space="preserve">Quotation Estimate</w:t>
      </w:r>
      <w:r>
        <w:t xml:space="preserve"> </w:t>
      </w:r>
      <w:r>
        <w:t xml:space="preserve">accurately reflects the agreed scope, pricing, and terms for the Industrial Engineer services to be delivered in Germany Berlin. This document, once countersigned, constitutes a binding commercial agreement between the parties.</w:t>
      </w:r>
    </w:p>
    <w:p>
      <w:pPr>
        <w:pStyle w:val="BodyText"/>
      </w:pPr>
      <w:r>
        <w:rPr>
          <w:bCs/>
          <w:b/>
        </w:rPr>
        <w:t xml:space="preserve">For Weber Industrial Consulting GmbH</w:t>
      </w:r>
    </w:p>
    <w:p>
      <w:pPr>
        <w:pStyle w:val="BodyText"/>
      </w:pPr>
      <w:r>
        <w:t xml:space="preserve">Name: Dr. Markus Weber, P.Eng.</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Siemens Energy GmbH &amp; Co. KG</w:t>
      </w:r>
    </w:p>
    <w:p>
      <w:pPr>
        <w:pStyle w:val="BodyText"/>
      </w:pPr>
      <w:r>
        <w:t xml:space="preserve">Name: Dr. Anna Kessler</w:t>
      </w:r>
    </w:p>
    <w:p>
      <w:pPr>
        <w:pStyle w:val="BodyText"/>
      </w:pPr>
      <w:r>
        <w:t xml:space="preserve">Title: Head of Operations</w:t>
      </w:r>
    </w:p>
    <w:p>
      <w:pPr>
        <w:pStyle w:val="BodyText"/>
      </w:pPr>
      <w:r>
        <w:t xml:space="preserve">Date: ____________________</w:t>
      </w:r>
    </w:p>
    <w:p>
      <w:pPr>
        <w:pStyle w:val="BodyText"/>
      </w:pPr>
      <w:r>
        <w:t xml:space="preserve">Signature: ____________________</w:t>
      </w:r>
    </w:p>
    <w:p>
      <w:pPr>
        <w:pStyle w:val="BodyText"/>
      </w:pPr>
      <w:r>
        <w:t xml:space="preserve">Weber Industrial Consulting GmbH — Friedrichstraße 142, 10117 Berlin, Germany — HRB 145 892 B (Amtsgericht Charlottenburg)</w:t>
      </w:r>
    </w:p>
    <w:p>
      <w:pPr>
        <w:pStyle w:val="BodyText"/>
      </w:pPr>
      <w:r>
        <w:t xml:space="preserve">USt-IdNr.: DE 312 456 789 — This Quotation Estimate was generated on 15 March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Germany Berlin</dc:title>
  <dc:creator/>
  <dc:language>en</dc:language>
  <cp:keywords/>
  <dcterms:created xsi:type="dcterms:W3CDTF">2026-10-10T03:37:03Z</dcterms:created>
  <dcterms:modified xsi:type="dcterms:W3CDTF">2026-10-10T03:37:03Z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