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engineering-solutions"/>
    <w:p>
      <w:pPr>
        <w:pStyle w:val="Heading1"/>
      </w:pPr>
      <w:r>
        <w:t xml:space="preserve">PT Nusantara Engineering Solutions</w:t>
      </w:r>
    </w:p>
    <w:p>
      <w:pPr>
        <w:pStyle w:val="FirstParagraph"/>
      </w:pPr>
      <w:r>
        <w:t xml:space="preserve">Jl. Jend. Sudirman Kav. 52-53, SCBD, Jakarta Selatan 12190, Indonesia Jakarta</w:t>
      </w:r>
    </w:p>
    <w:p>
      <w:pPr>
        <w:pStyle w:val="BodyText"/>
      </w:pPr>
      <w:r>
        <w:t xml:space="preserve">Tel: +62-21-5790-1234 | Email: quotation@nusantara-engineering.co.id</w:t>
      </w:r>
    </w:p>
    <w:p>
      <w:pPr>
        <w:pStyle w:val="BodyText"/>
      </w:pPr>
      <w:r>
        <w:t xml:space="preserve">NPWP: 01.234.567.8-012.000 | Business License (NIB): 1203456789012</w:t>
      </w:r>
    </w:p>
    <w:bookmarkEnd w:id="20"/>
    <w:p>
      <w:pPr>
        <w:pStyle w:val="BodyText"/>
      </w:pPr>
      <w:r>
        <w:t xml:space="preserve">Quotation Estimate</w:t>
      </w:r>
    </w:p>
    <w:p>
      <w:pPr>
        <w:pStyle w:val="BodyText"/>
      </w:pPr>
      <w:r>
        <w:rPr>
          <w:bCs/>
          <w:b/>
        </w:rPr>
        <w:t xml:space="preserve">Quotation No.:</w:t>
      </w:r>
      <w:r>
        <w:t xml:space="preserve"> </w:t>
      </w:r>
      <w:r>
        <w:t xml:space="preserve">QTE/IE/JKT/2025/0047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Indonesian Rupiah (IDR)</w:t>
      </w:r>
    </w:p>
    <w:p>
      <w:pPr>
        <w:pStyle w:val="BodyText"/>
      </w:pPr>
      <w:r>
        <w:rPr>
          <w:bCs/>
          <w:b/>
        </w:rPr>
        <w:t xml:space="preserve">Prepared For:</w:t>
      </w:r>
      <w:r>
        <w:t xml:space="preserve"> </w:t>
      </w:r>
      <w:r>
        <w:t xml:space="preserve">PT Maju Industri Manufaktur</w:t>
      </w:r>
    </w:p>
    <w:p>
      <w:pPr>
        <w:pStyle w:val="BodyText"/>
      </w:pPr>
      <w:r>
        <w:rPr>
          <w:bCs/>
          <w:b/>
        </w:rPr>
        <w:t xml:space="preserve">Address:</w:t>
      </w:r>
      <w:r>
        <w:t xml:space="preserve"> </w:t>
      </w:r>
      <w:r>
        <w:t xml:space="preserve">Kawasan Industri Jababeka, Cikarang, Bekasi, Indonesia Jakarta Metropolitan Area</w:t>
      </w:r>
    </w:p>
    <w:p>
      <w:pPr>
        <w:pStyle w:val="BodyText"/>
      </w:pPr>
      <w:r>
        <w:rPr>
          <w:bCs/>
          <w:b/>
        </w:rPr>
        <w:t xml:space="preserve">Attn:</w:t>
      </w:r>
      <w:r>
        <w:t xml:space="preserve"> </w:t>
      </w:r>
      <w:r>
        <w:t xml:space="preserve">Mr. Budi Santoso, Head of Operations</w:t>
      </w:r>
    </w:p>
    <w:p>
      <w:pPr>
        <w:pStyle w:val="BodyText"/>
      </w:pPr>
      <w:r>
        <w:rPr>
          <w:bCs/>
          <w:b/>
        </w:rPr>
        <w:t xml:space="preserve">Contact:</w:t>
      </w:r>
      <w:r>
        <w:t xml:space="preserve"> </w:t>
      </w:r>
      <w:r>
        <w:t xml:space="preserve">+62-21-8990-5567</w:t>
      </w:r>
    </w:p>
    <w:p>
      <w:pPr>
        <w:pStyle w:val="BodyText"/>
      </w:pPr>
      <w:r>
        <w:t xml:space="preserve">This</w:t>
      </w:r>
      <w:r>
        <w:t xml:space="preserve"> </w:t>
      </w:r>
      <w:r>
        <w:rPr>
          <w:bCs/>
          <w:b/>
        </w:rPr>
        <w:t xml:space="preserve">Quotation Estimate</w:t>
      </w:r>
      <w:r>
        <w:t xml:space="preserve"> </w:t>
      </w:r>
      <w:r>
        <w:t xml:space="preserve">is issued by PT Nusantara Engineering Solutions to provide a comprehensive cost breakdown for the engagement of a qualified</w:t>
      </w:r>
      <w:r>
        <w:t xml:space="preserve"> </w:t>
      </w:r>
      <w:r>
        <w:rPr>
          <w:bCs/>
          <w:b/>
        </w:rPr>
        <w:t xml:space="preserve">Industrial Engineer</w:t>
      </w:r>
      <w:r>
        <w:t xml:space="preserve"> </w:t>
      </w:r>
      <w:r>
        <w:t xml:space="preserve">to deliver process optimization, workflow analysis, and operational improvement services at the client's manufacturing facility located in the Indonesia Jakarta metropolitan region. This document serves as a formal estimate of all professional fees, travel expenses, and ancillary costs associated with the proposed scope of work.</w:t>
      </w:r>
    </w:p>
    <w:p>
      <w:pPr>
        <w:pStyle w:val="BodyText"/>
      </w:pPr>
      <w:r>
        <w:t xml:space="preserve">1. Scope of Work – Industrial Engineer Services</w:t>
      </w:r>
    </w:p>
    <w:p>
      <w:pPr>
        <w:pStyle w:val="BodyText"/>
      </w:pPr>
      <w:r>
        <w:t xml:space="preserve">The</w:t>
      </w:r>
      <w:r>
        <w:t xml:space="preserve"> </w:t>
      </w:r>
      <w:r>
        <w:rPr>
          <w:bCs/>
          <w:b/>
        </w:rPr>
        <w:t xml:space="preserve">Industrial Engineer</w:t>
      </w:r>
      <w:r>
        <w:t xml:space="preserve"> </w:t>
      </w:r>
      <w:r>
        <w:t xml:space="preserve">engaged under this Quotation Estimate shall perform the following duties and deliverables at the client's production site in Indonesia Jakarta:</w:t>
      </w:r>
    </w:p>
    <w:p>
      <w:pPr>
        <w:numPr>
          <w:ilvl w:val="0"/>
          <w:numId w:val="1001"/>
        </w:numPr>
        <w:pStyle w:val="Compact"/>
      </w:pPr>
      <w:r>
        <w:t xml:space="preserve">Conduct a full-time study of existing production lines, assembly processes, and material flow systems to identify bottlenecks, redundancies, and areas of inefficiency.</w:t>
      </w:r>
    </w:p>
    <w:p>
      <w:pPr>
        <w:numPr>
          <w:ilvl w:val="0"/>
          <w:numId w:val="1001"/>
        </w:numPr>
        <w:pStyle w:val="Compact"/>
      </w:pPr>
      <w:r>
        <w:t xml:space="preserve">Develop and implement time-and-motion studies, work measurement analyses, and standard time calculations for all critical operations.</w:t>
      </w:r>
    </w:p>
    <w:p>
      <w:pPr>
        <w:numPr>
          <w:ilvl w:val="0"/>
          <w:numId w:val="1001"/>
        </w:numPr>
        <w:pStyle w:val="Compact"/>
      </w:pPr>
      <w:r>
        <w:t xml:space="preserve">Design and propose an optimized plant layout and workstation arrangement to minimize material handling distances and reduce cycle times by a target of 15–25%.</w:t>
      </w:r>
    </w:p>
    <w:p>
      <w:pPr>
        <w:numPr>
          <w:ilvl w:val="0"/>
          <w:numId w:val="1001"/>
        </w:numPr>
        <w:pStyle w:val="Compact"/>
      </w:pPr>
      <w:r>
        <w:t xml:space="preserve">Prepare a comprehensive Industrial Engineering report including process flow diagrams, value-stream mapping, capacity planning models, and a detailed implementation roadmap.</w:t>
      </w:r>
    </w:p>
    <w:p>
      <w:pPr>
        <w:numPr>
          <w:ilvl w:val="0"/>
          <w:numId w:val="1001"/>
        </w:numPr>
        <w:pStyle w:val="Compact"/>
      </w:pPr>
      <w:r>
        <w:t xml:space="preserve">Provide on-site supervision and training for a period of four (4) weeks to ensure the client's internal team can sustain the improvements independently.</w:t>
      </w:r>
    </w:p>
    <w:p>
      <w:pPr>
        <w:numPr>
          <w:ilvl w:val="0"/>
          <w:numId w:val="1001"/>
        </w:numPr>
        <w:pStyle w:val="Compact"/>
      </w:pPr>
      <w:r>
        <w:t xml:space="preserve">Deliver a final presentation and handover session to the client's management team in Indonesia Jakarta.</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Industrial Engineer – Senior Consultant (process analysis, time study, layout design)</w:t>
            </w:r>
          </w:p>
        </w:tc>
        <w:tc>
          <w:tcPr/>
          <w:p>
            <w:pPr>
              <w:pStyle w:val="Compact"/>
              <w:jc w:val="left"/>
            </w:pPr>
            <w:r>
              <w:t xml:space="preserve">20</w:t>
            </w:r>
          </w:p>
        </w:tc>
        <w:tc>
          <w:tcPr/>
          <w:p>
            <w:pPr>
              <w:pStyle w:val="Compact"/>
              <w:jc w:val="left"/>
            </w:pPr>
            <w:r>
              <w:t xml:space="preserve">Man-days</w:t>
            </w:r>
          </w:p>
        </w:tc>
        <w:tc>
          <w:tcPr/>
          <w:p>
            <w:pPr>
              <w:pStyle w:val="Compact"/>
              <w:jc w:val="left"/>
            </w:pPr>
            <w:r>
              <w:t xml:space="preserve">8,500,000</w:t>
            </w:r>
          </w:p>
        </w:tc>
        <w:tc>
          <w:tcPr/>
          <w:p>
            <w:pPr>
              <w:pStyle w:val="Compact"/>
              <w:jc w:val="left"/>
            </w:pPr>
            <w:r>
              <w:t xml:space="preserve">170,000,000</w:t>
            </w:r>
          </w:p>
        </w:tc>
      </w:tr>
      <w:tr>
        <w:tc>
          <w:tcPr/>
          <w:p>
            <w:pPr>
              <w:pStyle w:val="Compact"/>
              <w:jc w:val="left"/>
            </w:pPr>
            <w:r>
              <w:t xml:space="preserve">2</w:t>
            </w:r>
          </w:p>
        </w:tc>
        <w:tc>
          <w:tcPr/>
          <w:p>
            <w:pPr>
              <w:pStyle w:val="Compact"/>
              <w:jc w:val="left"/>
            </w:pPr>
            <w:r>
              <w:t xml:space="preserve">Industrial Engineer – Junior Analyst (data collection, documentation support)</w:t>
            </w:r>
          </w:p>
        </w:tc>
        <w:tc>
          <w:tcPr/>
          <w:p>
            <w:pPr>
              <w:pStyle w:val="Compact"/>
              <w:jc w:val="left"/>
            </w:pPr>
            <w:r>
              <w:t xml:space="preserve">15</w:t>
            </w:r>
          </w:p>
        </w:tc>
        <w:tc>
          <w:tcPr/>
          <w:p>
            <w:pPr>
              <w:pStyle w:val="Compact"/>
              <w:jc w:val="left"/>
            </w:pPr>
            <w:r>
              <w:t xml:space="preserve">Man-days</w:t>
            </w:r>
          </w:p>
        </w:tc>
        <w:tc>
          <w:tcPr/>
          <w:p>
            <w:pPr>
              <w:pStyle w:val="Compact"/>
              <w:jc w:val="left"/>
            </w:pPr>
            <w:r>
              <w:t xml:space="preserve">4,200,000</w:t>
            </w:r>
          </w:p>
        </w:tc>
        <w:tc>
          <w:tcPr/>
          <w:p>
            <w:pPr>
              <w:pStyle w:val="Compact"/>
              <w:jc w:val="left"/>
            </w:pPr>
            <w:r>
              <w:t xml:space="preserve">63,000,000</w:t>
            </w:r>
          </w:p>
        </w:tc>
      </w:tr>
      <w:tr>
        <w:tc>
          <w:tcPr/>
          <w:p>
            <w:pPr>
              <w:pStyle w:val="Compact"/>
              <w:jc w:val="left"/>
            </w:pPr>
            <w:r>
              <w:t xml:space="preserve">3</w:t>
            </w:r>
          </w:p>
        </w:tc>
        <w:tc>
          <w:tcPr/>
          <w:p>
            <w:pPr>
              <w:pStyle w:val="Compact"/>
              <w:jc w:val="left"/>
            </w:pPr>
            <w:r>
              <w:t xml:space="preserve">Specialized software licensing (AutoCAD Plant 3D, Arena Simulation, Minitab) – project duration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On-site travel and local transportation within Indonesia Jakarta and surrounding industrial zones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750,000</w:t>
            </w:r>
          </w:p>
        </w:tc>
        <w:tc>
          <w:tcPr/>
          <w:p>
            <w:pPr>
              <w:pStyle w:val="Compact"/>
              <w:jc w:val="left"/>
            </w:pPr>
            <w:r>
              <w:t xml:space="preserve">22,500,000</w:t>
            </w:r>
          </w:p>
        </w:tc>
      </w:tr>
      <w:tr>
        <w:tc>
          <w:tcPr/>
          <w:p>
            <w:pPr>
              <w:pStyle w:val="Compact"/>
              <w:jc w:val="left"/>
            </w:pPr>
            <w:r>
              <w:t xml:space="preserve">5</w:t>
            </w:r>
          </w:p>
        </w:tc>
        <w:tc>
          <w:tcPr/>
          <w:p>
            <w:pPr>
              <w:pStyle w:val="Compact"/>
              <w:jc w:val="left"/>
            </w:pPr>
            <w:r>
              <w:t xml:space="preserve">Accommodation and per diem for the Industrial Engineer team (4-week on-site deployment)</w:t>
            </w:r>
          </w:p>
        </w:tc>
        <w:tc>
          <w:tcPr/>
          <w:p>
            <w:pPr>
              <w:pStyle w:val="Compact"/>
              <w:jc w:val="left"/>
            </w:pPr>
            <w:r>
              <w:t xml:space="preserve">28</w:t>
            </w:r>
          </w:p>
        </w:tc>
        <w:tc>
          <w:tcPr/>
          <w:p>
            <w:pPr>
              <w:pStyle w:val="Compact"/>
              <w:jc w:val="left"/>
            </w:pPr>
            <w:r>
              <w:t xml:space="preserve">Nights</w:t>
            </w:r>
          </w:p>
        </w:tc>
        <w:tc>
          <w:tcPr/>
          <w:p>
            <w:pPr>
              <w:pStyle w:val="Compact"/>
              <w:jc w:val="left"/>
            </w:pPr>
            <w:r>
              <w:t xml:space="preserve">1,800,000</w:t>
            </w:r>
          </w:p>
        </w:tc>
        <w:tc>
          <w:tcPr/>
          <w:p>
            <w:pPr>
              <w:pStyle w:val="Compact"/>
              <w:jc w:val="left"/>
            </w:pPr>
            <w:r>
              <w:t xml:space="preserve">50,400,000</w:t>
            </w:r>
          </w:p>
        </w:tc>
      </w:tr>
      <w:tr>
        <w:tc>
          <w:tcPr/>
          <w:p>
            <w:pPr>
              <w:pStyle w:val="Compact"/>
              <w:jc w:val="left"/>
            </w:pPr>
            <w:r>
              <w:t xml:space="preserve">6</w:t>
            </w:r>
          </w:p>
        </w:tc>
        <w:tc>
          <w:tcPr/>
          <w:p>
            <w:pPr>
              <w:pStyle w:val="Compact"/>
              <w:jc w:val="left"/>
            </w:pPr>
            <w:r>
              <w:t xml:space="preserve">Final Industrial Engineering report, process documentation, and training materials (hard copy and digital)</w:t>
            </w:r>
          </w:p>
        </w:tc>
        <w:tc>
          <w:tcPr/>
          <w:p>
            <w:pPr>
              <w:pStyle w:val="Compact"/>
              <w:jc w:val="left"/>
            </w:pPr>
            <w:r>
              <w:t xml:space="preserve">1</w:t>
            </w:r>
          </w:p>
        </w:tc>
        <w:tc>
          <w:tcPr/>
          <w:p>
            <w:pPr>
              <w:pStyle w:val="Compact"/>
              <w:jc w:val="left"/>
            </w:pPr>
            <w:r>
              <w:t xml:space="preserve">Set</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Management presentation and handover session in Indonesia Jakarta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8</w:t>
            </w:r>
          </w:p>
        </w:tc>
        <w:tc>
          <w:tcPr/>
          <w:p>
            <w:pPr>
              <w:pStyle w:val="Compact"/>
              <w:jc w:val="left"/>
            </w:pPr>
            <w:r>
              <w:t xml:space="preserve">Project management and coordination overhead (10% of items 1–7)</w:t>
            </w:r>
          </w:p>
        </w:tc>
        <w:tc>
          <w:tcPr/>
          <w:p>
            <w:pPr>
              <w:pStyle w:val="Compact"/>
              <w:jc w:val="left"/>
            </w:pPr>
            <w:r>
              <w:t xml:space="preserve">1</w:t>
            </w:r>
          </w:p>
        </w:tc>
        <w:tc>
          <w:tcPr/>
          <w:p>
            <w:pPr>
              <w:pStyle w:val="Compact"/>
              <w:jc w:val="left"/>
            </w:pPr>
            <w:r>
              <w:t xml:space="preserve">Lot</w:t>
            </w:r>
          </w:p>
        </w:tc>
        <w:tc>
          <w:tcPr/>
          <w:p>
            <w:pPr>
              <w:pStyle w:val="Compact"/>
              <w:jc w:val="left"/>
            </w:pPr>
            <w:r>
              <w:t xml:space="preserve">—</w:t>
            </w:r>
          </w:p>
        </w:tc>
        <w:tc>
          <w:tcPr/>
          <w:p>
            <w:pPr>
              <w:pStyle w:val="Compact"/>
              <w:jc w:val="left"/>
            </w:pPr>
            <w:r>
              <w:t xml:space="preserve">33,090,000</w:t>
            </w:r>
          </w:p>
        </w:tc>
      </w:tr>
      <w:tr>
        <w:tc>
          <w:tcPr>
            <w:gridSpan w:val="5"/>
          </w:tcPr>
          <w:p>
            <w:pPr>
              <w:pStyle w:val="Compact"/>
              <w:jc w:val="right"/>
            </w:pPr>
            <w:r>
              <w:t xml:space="preserve">Subtotal</w:t>
            </w:r>
          </w:p>
        </w:tc>
        <w:tc>
          <w:tcPr/>
          <w:p>
            <w:pPr>
              <w:pStyle w:val="Compact"/>
              <w:jc w:val="left"/>
            </w:pPr>
            <w:r>
              <w:t xml:space="preserve">363,990,000</w:t>
            </w:r>
          </w:p>
        </w:tc>
      </w:tr>
      <w:tr>
        <w:tc>
          <w:tcPr>
            <w:gridSpan w:val="5"/>
          </w:tcPr>
          <w:p>
            <w:pPr>
              <w:pStyle w:val="Compact"/>
              <w:jc w:val="right"/>
            </w:pPr>
            <w:r>
              <w:t xml:space="preserve">VAT (PPN) 11%</w:t>
            </w:r>
          </w:p>
        </w:tc>
        <w:tc>
          <w:tcPr/>
          <w:p>
            <w:pPr>
              <w:pStyle w:val="Compact"/>
              <w:jc w:val="left"/>
            </w:pPr>
            <w:r>
              <w:t xml:space="preserve">40,038,900</w:t>
            </w:r>
          </w:p>
        </w:tc>
      </w:tr>
      <w:tr>
        <w:tc>
          <w:tcPr>
            <w:gridSpan w:val="5"/>
          </w:tcPr>
          <w:p>
            <w:pPr>
              <w:pStyle w:val="Compact"/>
              <w:jc w:val="right"/>
            </w:pPr>
            <w:r>
              <w:t xml:space="preserve">GRAND TOTAL</w:t>
            </w:r>
          </w:p>
        </w:tc>
        <w:tc>
          <w:tcPr/>
          <w:p>
            <w:pPr>
              <w:pStyle w:val="Compact"/>
              <w:jc w:val="left"/>
            </w:pPr>
            <w:r>
              <w:t xml:space="preserve">404,028,900</w:t>
            </w:r>
          </w:p>
        </w:tc>
      </w:tr>
    </w:tbl>
    <w:p>
      <w:pPr>
        <w:pStyle w:val="BodyText"/>
      </w:pPr>
      <w:r>
        <w:rPr>
          <w:bCs/>
          <w:b/>
        </w:rPr>
        <w:t xml:space="preserve">Total Amount in Words:</w:t>
      </w:r>
      <w:r>
        <w:t xml:space="preserve"> </w:t>
      </w:r>
      <w:r>
        <w:t xml:space="preserve">Four Hundred Four Million Twenty-Eight Thousand Nine Hundred Rupiah Only (IDR 404,028,900).</w:t>
      </w:r>
    </w:p>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survey, data collection, and preliminary process mapping</w:t>
            </w:r>
          </w:p>
        </w:tc>
        <w:tc>
          <w:tcPr/>
          <w:p>
            <w:pPr>
              <w:pStyle w:val="Compact"/>
              <w:jc w:val="left"/>
            </w:pPr>
            <w:r>
              <w:t xml:space="preserve">Week 1</w:t>
            </w:r>
          </w:p>
        </w:tc>
        <w:tc>
          <w:tcPr/>
          <w:p>
            <w:pPr>
              <w:pStyle w:val="Compact"/>
              <w:jc w:val="left"/>
            </w:pPr>
            <w:r>
              <w:t xml:space="preserve">Indonesia Jakarta (client facility)</w:t>
            </w:r>
          </w:p>
        </w:tc>
      </w:tr>
      <w:tr>
        <w:tc>
          <w:tcPr/>
          <w:p>
            <w:pPr>
              <w:pStyle w:val="Compact"/>
              <w:jc w:val="left"/>
            </w:pPr>
            <w:r>
              <w:t xml:space="preserve">Phase 2</w:t>
            </w:r>
          </w:p>
        </w:tc>
        <w:tc>
          <w:tcPr/>
          <w:p>
            <w:pPr>
              <w:pStyle w:val="Compact"/>
              <w:jc w:val="left"/>
            </w:pPr>
            <w:r>
              <w:t xml:space="preserve">Detailed time study, bottleneck analysis, and simulation modeling</w:t>
            </w:r>
          </w:p>
        </w:tc>
        <w:tc>
          <w:tcPr/>
          <w:p>
            <w:pPr>
              <w:pStyle w:val="Compact"/>
              <w:jc w:val="left"/>
            </w:pPr>
            <w:r>
              <w:t xml:space="preserve">Week 2–3</w:t>
            </w:r>
          </w:p>
        </w:tc>
        <w:tc>
          <w:tcPr/>
          <w:p>
            <w:pPr>
              <w:pStyle w:val="Compact"/>
              <w:jc w:val="left"/>
            </w:pPr>
            <w:r>
              <w:t xml:space="preserve">Indonesia Jakarta (client facility)</w:t>
            </w:r>
          </w:p>
        </w:tc>
      </w:tr>
      <w:tr>
        <w:tc>
          <w:tcPr/>
          <w:p>
            <w:pPr>
              <w:pStyle w:val="Compact"/>
              <w:jc w:val="left"/>
            </w:pPr>
            <w:r>
              <w:t xml:space="preserve">Phase 3</w:t>
            </w:r>
          </w:p>
        </w:tc>
        <w:tc>
          <w:tcPr/>
          <w:p>
            <w:pPr>
              <w:pStyle w:val="Compact"/>
              <w:jc w:val="left"/>
            </w:pPr>
            <w:r>
              <w:t xml:space="preserve">Layout redesign, implementation planning, and pilot testing</w:t>
            </w:r>
          </w:p>
        </w:tc>
        <w:tc>
          <w:tcPr/>
          <w:p>
            <w:pPr>
              <w:pStyle w:val="Compact"/>
              <w:jc w:val="left"/>
            </w:pPr>
            <w:r>
              <w:t xml:space="preserve">Week 3–4</w:t>
            </w:r>
          </w:p>
        </w:tc>
        <w:tc>
          <w:tcPr/>
          <w:p>
            <w:pPr>
              <w:pStyle w:val="Compact"/>
              <w:jc w:val="left"/>
            </w:pPr>
            <w:r>
              <w:t xml:space="preserve">Indonesia Jakarta (client facility)</w:t>
            </w:r>
          </w:p>
        </w:tc>
      </w:tr>
      <w:tr>
        <w:tc>
          <w:tcPr/>
          <w:p>
            <w:pPr>
              <w:pStyle w:val="Compact"/>
              <w:jc w:val="left"/>
            </w:pPr>
            <w:r>
              <w:t xml:space="preserve">Phase 4</w:t>
            </w:r>
          </w:p>
        </w:tc>
        <w:tc>
          <w:tcPr/>
          <w:p>
            <w:pPr>
              <w:pStyle w:val="Compact"/>
              <w:jc w:val="left"/>
            </w:pPr>
            <w:r>
              <w:t xml:space="preserve">Training, final reporting, and management handover</w:t>
            </w:r>
          </w:p>
        </w:tc>
        <w:tc>
          <w:tcPr/>
          <w:p>
            <w:pPr>
              <w:pStyle w:val="Compact"/>
              <w:jc w:val="left"/>
            </w:pPr>
            <w:r>
              <w:t xml:space="preserve">Week 4</w:t>
            </w:r>
          </w:p>
        </w:tc>
        <w:tc>
          <w:tcPr/>
          <w:p>
            <w:pPr>
              <w:pStyle w:val="Compact"/>
              <w:jc w:val="left"/>
            </w:pPr>
            <w:r>
              <w:t xml:space="preserve">Indonesia Jakarta (client office)</w:t>
            </w:r>
          </w:p>
        </w:tc>
      </w:tr>
    </w:tbl>
    <w:p>
      <w:pPr>
        <w:pStyle w:val="BodyText"/>
      </w:pPr>
      <w:r>
        <w:t xml:space="preserve">4. Payment Terms</w:t>
      </w:r>
    </w:p>
    <w:p>
      <w:pPr>
        <w:numPr>
          <w:ilvl w:val="0"/>
          <w:numId w:val="1002"/>
        </w:numPr>
        <w:pStyle w:val="Compact"/>
      </w:pPr>
      <w:r>
        <w:rPr>
          <w:bCs/>
          <w:b/>
        </w:rPr>
        <w:t xml:space="preserve">30%</w:t>
      </w:r>
      <w:r>
        <w:t xml:space="preserve"> </w:t>
      </w:r>
      <w:r>
        <w:t xml:space="preserve">advance payment upon acceptance of this Quotation Estimate and signing of the Service Agreement: IDR 121,208,670.</w:t>
      </w:r>
    </w:p>
    <w:p>
      <w:pPr>
        <w:numPr>
          <w:ilvl w:val="0"/>
          <w:numId w:val="1002"/>
        </w:numPr>
        <w:pStyle w:val="Compact"/>
      </w:pPr>
      <w:r>
        <w:rPr>
          <w:bCs/>
          <w:b/>
        </w:rPr>
        <w:t xml:space="preserve">40%</w:t>
      </w:r>
      <w:r>
        <w:t xml:space="preserve"> </w:t>
      </w:r>
      <w:r>
        <w:t xml:space="preserve">upon completion of Phase 2 (detailed analysis and simulation deliverables): IDR 161,611,560.</w:t>
      </w:r>
    </w:p>
    <w:p>
      <w:pPr>
        <w:numPr>
          <w:ilvl w:val="0"/>
          <w:numId w:val="1002"/>
        </w:numPr>
        <w:pStyle w:val="Compact"/>
      </w:pPr>
      <w:r>
        <w:rPr>
          <w:bCs/>
          <w:b/>
        </w:rPr>
        <w:t xml:space="preserve">30%</w:t>
      </w:r>
      <w:r>
        <w:t xml:space="preserve"> </w:t>
      </w:r>
      <w:r>
        <w:t xml:space="preserve">upon final handover and acceptance of the Industrial Engineering report: IDR 121,208,670.</w:t>
      </w:r>
    </w:p>
    <w:p>
      <w:pPr>
        <w:numPr>
          <w:ilvl w:val="0"/>
          <w:numId w:val="1002"/>
        </w:numPr>
        <w:pStyle w:val="Compact"/>
      </w:pPr>
      <w:r>
        <w:t xml:space="preserve">All payments shall be made via bank transfer to: Bank Mandiri, Account No. 137-00-0123456-7, a.n. PT Nusantara Engineering Solutions.</w:t>
      </w:r>
    </w:p>
    <w:p>
      <w:pPr>
        <w:numPr>
          <w:ilvl w:val="0"/>
          <w:numId w:val="1002"/>
        </w:numPr>
        <w:pStyle w:val="Compact"/>
      </w:pPr>
      <w:r>
        <w:t xml:space="preserve">Invoices are payable within fourteen (14) calendar days from the date of invoice issuance.</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Any request for a revised estimate after the validity period shall be subject to re-evaluation of rates.</w:t>
      </w:r>
    </w:p>
    <w:p>
      <w:pPr>
        <w:numPr>
          <w:ilvl w:val="0"/>
          <w:numId w:val="1003"/>
        </w:numPr>
        <w:pStyle w:val="Compact"/>
      </w:pPr>
      <w:r>
        <w:t xml:space="preserve">The Industrial Engineer and supporting team shall comply with all applicable Indonesian labor regulations, occupational health and safety standards (K3), and site-specific safety protocols at the client's facility in Indonesia Jakarta.</w:t>
      </w:r>
    </w:p>
    <w:p>
      <w:pPr>
        <w:numPr>
          <w:ilvl w:val="0"/>
          <w:numId w:val="1003"/>
        </w:numPr>
        <w:pStyle w:val="Compact"/>
      </w:pPr>
      <w:r>
        <w:t xml:space="preserve">The client shall provide the Industrial Engineer team with safe access to all relevant production areas, existing documentation, and necessary personnel for interviews and observations.</w:t>
      </w:r>
    </w:p>
    <w:p>
      <w:pPr>
        <w:numPr>
          <w:ilvl w:val="0"/>
          <w:numId w:val="1003"/>
        </w:numPr>
        <w:pStyle w:val="Compact"/>
      </w:pPr>
      <w:r>
        <w:t xml:space="preserve">All intellectual property, reports, and deliverables produced under this engagement shall become the sole property of the client upon full and final payment.</w:t>
      </w:r>
    </w:p>
    <w:p>
      <w:pPr>
        <w:numPr>
          <w:ilvl w:val="0"/>
          <w:numId w:val="1003"/>
        </w:numPr>
        <w:pStyle w:val="Compact"/>
      </w:pPr>
      <w:r>
        <w:t xml:space="preserve">Any scope changes or additional work requested by the client beyond the original scope defined in Section 1 shall be subject to a supplementary Quotation Estimate and written approval before execution.</w:t>
      </w:r>
    </w:p>
    <w:p>
      <w:pPr>
        <w:numPr>
          <w:ilvl w:val="0"/>
          <w:numId w:val="1003"/>
        </w:numPr>
        <w:pStyle w:val="Compact"/>
      </w:pPr>
      <w:r>
        <w:t xml:space="preserve">This Quotation Estimate does not constitute a binding contract. A formal Service Agreement must be executed by both parties prior to the commencement of work.</w:t>
      </w:r>
    </w:p>
    <w:p>
      <w:pPr>
        <w:numPr>
          <w:ilvl w:val="0"/>
          <w:numId w:val="1003"/>
        </w:numPr>
        <w:pStyle w:val="Compact"/>
      </w:pPr>
      <w:r>
        <w:t xml:space="preserve">Disputes arising from this engagement shall be resolved through amicable negotiation. In the event of unresolved disputes, the parties agree to submit the matter to the competent court in Indonesia Jakarta.</w:t>
      </w:r>
    </w:p>
    <w:p>
      <w:pPr>
        <w:pStyle w:val="FirstParagraph"/>
      </w:pPr>
      <w:r>
        <w:t xml:space="preserve">6. Acceptance</w:t>
      </w:r>
    </w:p>
    <w:p>
      <w:pPr>
        <w:pStyle w:val="BodyText"/>
      </w:pPr>
      <w:r>
        <w:t xml:space="preserve">By signing below, the client acknowledges receipt of this Quotation Estimate for Industrial Engineer services in Indonesia Jakarta and agrees to the terms, conditions, and pricing outlined herein. This signature does not constitute a binding commitment until a formal Service Agreement is executed.</w:t>
      </w:r>
    </w:p>
    <w:p>
      <w:pPr>
        <w:pStyle w:val="BodyText"/>
      </w:pPr>
      <w:r>
        <w:rPr>
          <w:bCs/>
          <w:b/>
        </w:rPr>
        <w:t xml:space="preserve">Prepared By (PT Nusantara Engineering Solutions)</w:t>
      </w:r>
    </w:p>
    <w:p>
      <w:pPr>
        <w:pStyle w:val="BodyText"/>
      </w:pPr>
      <w:r>
        <w:t xml:space="preserve">Dr. Andi Wijaya, P.Eng.</w:t>
      </w:r>
    </w:p>
    <w:p>
      <w:pPr>
        <w:pStyle w:val="BodyText"/>
      </w:pPr>
      <w:r>
        <w:t xml:space="preserve">Principal Industrial Engineer</w:t>
      </w:r>
    </w:p>
    <w:p>
      <w:pPr>
        <w:pStyle w:val="BodyText"/>
      </w:pPr>
      <w:r>
        <w:t xml:space="preserve">Date: _______________</w:t>
      </w:r>
    </w:p>
    <w:p>
      <w:pPr>
        <w:pStyle w:val="BodyText"/>
      </w:pPr>
      <w:r>
        <w:rPr>
          <w:bCs/>
          <w:b/>
        </w:rPr>
        <w:t xml:space="preserve">Accepted By (PT Maju Industri Manufaktur)</w:t>
      </w:r>
    </w:p>
    <w:p>
      <w:pPr>
        <w:pStyle w:val="BodyText"/>
      </w:pPr>
      <w:r>
        <w:t xml:space="preserve">Mr. Budi Santoso</w:t>
      </w:r>
    </w:p>
    <w:p>
      <w:pPr>
        <w:pStyle w:val="BodyText"/>
      </w:pPr>
      <w:r>
        <w:t xml:space="preserve">Head of Operations</w:t>
      </w:r>
    </w:p>
    <w:p>
      <w:pPr>
        <w:pStyle w:val="BodyText"/>
      </w:pPr>
      <w:r>
        <w:t xml:space="preserve">Date: _______________</w:t>
      </w:r>
    </w:p>
    <w:p>
      <w:pPr>
        <w:pStyle w:val="BodyText"/>
      </w:pPr>
      <w:r>
        <w:t xml:space="preserve">PT Nusantara Engineering Solutions | Jl. Jend. Sudirman Kav. 52-53, SCBD, Jakarta Selatan 12190, Indonesia Jakarta</w:t>
      </w:r>
    </w:p>
    <w:p>
      <w:pPr>
        <w:pStyle w:val="BodyText"/>
      </w:pPr>
      <w:r>
        <w:t xml:space="preserve">This Quotation Estimate is the property of PT Nusantara Engineering Solutions. Unauthorized reproduction is prohibited.</w:t>
      </w:r>
    </w:p>
    <w:p>
      <w:pPr>
        <w:pStyle w:val="BodyText"/>
      </w:pPr>
      <w:r>
        <w:t xml:space="preserve">Document Ref: QTE/IE/JKT/2025/0047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Indonesia Jakarta</dc:title>
  <dc:creator/>
  <dc:language>en</dc:language>
  <cp:keywords/>
  <dcterms:created xsi:type="dcterms:W3CDTF">2026-10-10T04:33:27Z</dcterms:created>
  <dcterms:modified xsi:type="dcterms:W3CDTF">2026-10-10T04:33:27Z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